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0F" w:rsidRDefault="009228D7">
      <w:pPr>
        <w:spacing w:before="240"/>
        <w:jc w:val="center"/>
        <w:rPr>
          <w:noProof/>
          <w:lang w:eastAsia="fr-FR"/>
        </w:rPr>
      </w:pPr>
      <w:r>
        <w:rPr>
          <w:noProof/>
          <w:lang w:eastAsia="fr-FR"/>
        </w:rPr>
        <w:drawing>
          <wp:inline distT="0" distB="0" distL="0" distR="0" wp14:anchorId="71E6DCCB" wp14:editId="40B1449E">
            <wp:extent cx="1914525" cy="638175"/>
            <wp:effectExtent l="0" t="0" r="9525" b="9525"/>
            <wp:docPr id="3" name="Image 4" descr="https://lh3.googleusercontent.com/wM9iAkJJAGM2wKZvx5Gzc2WN4kACMWsSNXqNuilTEMzDj1mnXGW6KLMw1FMjpiLwz5h5JQ4iuoxMQYiDKIOwZN-qdkpIYTVDhESdmz0wDKu32XxDh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lh3.googleusercontent.com/wM9iAkJJAGM2wKZvx5Gzc2WN4kACMWsSNXqNuilTEMzDj1mnXGW6KLMw1FMjpiLwz5h5JQ4iuoxMQYiDKIOwZN-qdkpIYTVDhESdmz0wDKu32XxDhj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a:ln>
                      <a:noFill/>
                    </a:ln>
                  </pic:spPr>
                </pic:pic>
              </a:graphicData>
            </a:graphic>
          </wp:inline>
        </w:drawing>
      </w:r>
    </w:p>
    <w:p w:rsidR="009228D7" w:rsidRDefault="009228D7" w:rsidP="009228D7">
      <w:pPr>
        <w:jc w:val="center"/>
        <w:rPr>
          <w:rFonts w:ascii="Sylfaen" w:hAnsi="Sylfaen"/>
          <w:b/>
          <w:smallCaps/>
          <w:spacing w:val="80"/>
          <w:sz w:val="28"/>
          <w:szCs w:val="24"/>
        </w:rPr>
      </w:pPr>
    </w:p>
    <w:p w:rsidR="00952B0F" w:rsidRDefault="00B06B01" w:rsidP="009228D7">
      <w:pPr>
        <w:jc w:val="center"/>
        <w:rPr>
          <w:rFonts w:ascii="Sylfaen" w:hAnsi="Sylfaen"/>
          <w:b/>
          <w:smallCaps/>
          <w:spacing w:val="80"/>
          <w:sz w:val="28"/>
          <w:szCs w:val="24"/>
        </w:rPr>
      </w:pPr>
      <w:r>
        <w:rPr>
          <w:rFonts w:ascii="Sylfaen" w:hAnsi="Sylfaen"/>
          <w:b/>
          <w:smallCaps/>
          <w:spacing w:val="80"/>
          <w:sz w:val="28"/>
          <w:szCs w:val="24"/>
        </w:rPr>
        <w:t>Commune du Guilvinec</w:t>
      </w:r>
    </w:p>
    <w:p w:rsidR="00952B0F" w:rsidRDefault="00952B0F">
      <w:pPr>
        <w:jc w:val="center"/>
        <w:rPr>
          <w:rFonts w:ascii="Sylfaen" w:hAnsi="Sylfaen"/>
          <w:b/>
          <w:bCs/>
        </w:rPr>
      </w:pPr>
    </w:p>
    <w:p w:rsidR="00952B0F" w:rsidRDefault="00B06B01">
      <w:pPr>
        <w:jc w:val="center"/>
        <w:rPr>
          <w:rFonts w:ascii="Sylfaen" w:hAnsi="Sylfaen"/>
          <w:b/>
          <w:bCs/>
          <w:sz w:val="26"/>
          <w:szCs w:val="26"/>
        </w:rPr>
      </w:pPr>
      <w:r>
        <w:rPr>
          <w:rFonts w:ascii="Sylfaen" w:hAnsi="Sylfaen"/>
          <w:b/>
          <w:bCs/>
          <w:sz w:val="26"/>
          <w:szCs w:val="26"/>
        </w:rPr>
        <w:t xml:space="preserve">Conseil municipal du </w:t>
      </w:r>
      <w:r w:rsidR="00D72ABC">
        <w:rPr>
          <w:rFonts w:ascii="Sylfaen" w:hAnsi="Sylfaen"/>
          <w:b/>
          <w:bCs/>
          <w:sz w:val="26"/>
          <w:szCs w:val="26"/>
        </w:rPr>
        <w:t>25</w:t>
      </w:r>
      <w:r w:rsidR="00AA7A5A">
        <w:rPr>
          <w:rFonts w:ascii="Sylfaen" w:hAnsi="Sylfaen"/>
          <w:b/>
          <w:bCs/>
          <w:sz w:val="26"/>
          <w:szCs w:val="26"/>
        </w:rPr>
        <w:t xml:space="preserve"> mars</w:t>
      </w:r>
      <w:r w:rsidR="002C4372">
        <w:rPr>
          <w:rFonts w:ascii="Sylfaen" w:hAnsi="Sylfaen"/>
          <w:b/>
          <w:bCs/>
          <w:sz w:val="26"/>
          <w:szCs w:val="26"/>
        </w:rPr>
        <w:t xml:space="preserve"> </w:t>
      </w:r>
      <w:r w:rsidR="003C4F12">
        <w:rPr>
          <w:rFonts w:ascii="Sylfaen" w:hAnsi="Sylfaen"/>
          <w:b/>
          <w:bCs/>
          <w:sz w:val="26"/>
          <w:szCs w:val="26"/>
        </w:rPr>
        <w:t>201</w:t>
      </w:r>
      <w:r w:rsidR="000145E2">
        <w:rPr>
          <w:rFonts w:ascii="Sylfaen" w:hAnsi="Sylfaen"/>
          <w:b/>
          <w:bCs/>
          <w:sz w:val="26"/>
          <w:szCs w:val="26"/>
        </w:rPr>
        <w:t>6</w:t>
      </w:r>
      <w:r w:rsidR="00F356BF">
        <w:rPr>
          <w:rFonts w:ascii="Sylfaen" w:hAnsi="Sylfaen"/>
          <w:b/>
          <w:bCs/>
          <w:sz w:val="26"/>
          <w:szCs w:val="26"/>
        </w:rPr>
        <w:t xml:space="preserve"> – </w:t>
      </w:r>
      <w:r w:rsidR="00C86EE6">
        <w:rPr>
          <w:rFonts w:ascii="Sylfaen" w:hAnsi="Sylfaen"/>
          <w:b/>
          <w:bCs/>
          <w:sz w:val="26"/>
          <w:szCs w:val="26"/>
        </w:rPr>
        <w:t>1</w:t>
      </w:r>
      <w:r w:rsidR="002C4372">
        <w:rPr>
          <w:rFonts w:ascii="Sylfaen" w:hAnsi="Sylfaen"/>
          <w:b/>
          <w:bCs/>
          <w:sz w:val="26"/>
          <w:szCs w:val="26"/>
        </w:rPr>
        <w:t>9</w:t>
      </w:r>
      <w:r w:rsidR="00F356BF">
        <w:rPr>
          <w:rFonts w:ascii="Sylfaen" w:hAnsi="Sylfaen"/>
          <w:b/>
          <w:bCs/>
          <w:sz w:val="26"/>
          <w:szCs w:val="26"/>
        </w:rPr>
        <w:t>h</w:t>
      </w:r>
    </w:p>
    <w:p w:rsidR="00952B0F" w:rsidRDefault="00952B0F">
      <w:pPr>
        <w:jc w:val="center"/>
        <w:rPr>
          <w:rFonts w:ascii="Sylfaen" w:hAnsi="Sylfaen"/>
          <w:b/>
          <w:bCs/>
        </w:rPr>
      </w:pPr>
    </w:p>
    <w:p w:rsidR="00952B0F" w:rsidRDefault="005631BA">
      <w:pPr>
        <w:jc w:val="center"/>
        <w:rPr>
          <w:rFonts w:ascii="Sylfaen" w:hAnsi="Sylfaen"/>
          <w:b/>
          <w:bCs/>
        </w:rPr>
      </w:pPr>
      <w:r>
        <w:rPr>
          <w:rFonts w:ascii="Sylfaen" w:hAnsi="Sylfaen"/>
          <w:b/>
          <w:bCs/>
        </w:rPr>
        <w:t>Compte rendu</w:t>
      </w:r>
    </w:p>
    <w:p w:rsidR="00952B0F" w:rsidRDefault="00952B0F">
      <w:pPr>
        <w:jc w:val="both"/>
        <w:rPr>
          <w:rFonts w:ascii="Book Antiqua" w:hAnsi="Book Antiqua"/>
          <w:szCs w:val="24"/>
        </w:rPr>
      </w:pPr>
    </w:p>
    <w:p w:rsidR="005631BA" w:rsidRPr="005631BA" w:rsidRDefault="005631BA" w:rsidP="005631BA">
      <w:pPr>
        <w:jc w:val="center"/>
        <w:rPr>
          <w:rFonts w:ascii="Sylfaen" w:hAnsi="Sylfaen" w:cs="Calibri"/>
          <w:b/>
          <w:sz w:val="22"/>
          <w:szCs w:val="22"/>
        </w:rPr>
      </w:pPr>
      <w:r w:rsidRPr="005631BA">
        <w:rPr>
          <w:rFonts w:ascii="Sylfaen" w:hAnsi="Sylfaen" w:cs="Calibri"/>
          <w:b/>
          <w:sz w:val="22"/>
          <w:szCs w:val="22"/>
        </w:rPr>
        <w:t>Séance du 25 mars 2016</w:t>
      </w:r>
    </w:p>
    <w:p w:rsidR="005631BA" w:rsidRPr="005631BA" w:rsidRDefault="005631BA" w:rsidP="005631BA">
      <w:pPr>
        <w:jc w:val="both"/>
        <w:rPr>
          <w:rFonts w:ascii="Sylfaen" w:hAnsi="Sylfaen" w:cs="Calibri"/>
          <w:sz w:val="22"/>
          <w:szCs w:val="22"/>
        </w:rPr>
      </w:pPr>
    </w:p>
    <w:p w:rsidR="005631BA" w:rsidRPr="005631BA" w:rsidRDefault="005631BA" w:rsidP="005631BA">
      <w:pPr>
        <w:tabs>
          <w:tab w:val="left" w:pos="0"/>
          <w:tab w:val="left" w:pos="3261"/>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Sylfaen" w:hAnsi="Sylfaen" w:cs="Calibri"/>
          <w:sz w:val="22"/>
          <w:szCs w:val="22"/>
        </w:rPr>
      </w:pPr>
    </w:p>
    <w:p w:rsidR="005631BA" w:rsidRPr="005631BA" w:rsidRDefault="005631BA" w:rsidP="005631BA">
      <w:pPr>
        <w:tabs>
          <w:tab w:val="left" w:pos="0"/>
          <w:tab w:val="left" w:pos="2268"/>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Book Antiqua" w:hAnsi="Book Antiqua"/>
          <w:sz w:val="22"/>
          <w:szCs w:val="22"/>
        </w:rPr>
      </w:pPr>
      <w:r w:rsidRPr="005631BA">
        <w:rPr>
          <w:rFonts w:ascii="Book Antiqua" w:hAnsi="Book Antiqua"/>
          <w:sz w:val="22"/>
          <w:szCs w:val="22"/>
        </w:rPr>
        <w:t>A 19 heures, le Conseil Municipal de cette commune, régulièrement convoqué, s'est réuni au nombre prescrit par la loi, dans la salle d’honneur de la Mairie, sous la présidence de Jean Luc TANNEAU, Maire.</w:t>
      </w:r>
    </w:p>
    <w:p w:rsidR="005631BA" w:rsidRPr="005631BA" w:rsidRDefault="005631BA" w:rsidP="005631BA">
      <w:pPr>
        <w:tabs>
          <w:tab w:val="left" w:pos="123"/>
          <w:tab w:val="left" w:pos="3261"/>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Book Antiqua" w:hAnsi="Book Antiqua"/>
          <w:sz w:val="18"/>
        </w:rPr>
      </w:pPr>
    </w:p>
    <w:p w:rsidR="005631BA" w:rsidRPr="005631BA" w:rsidRDefault="005631BA" w:rsidP="005631BA">
      <w:pPr>
        <w:tabs>
          <w:tab w:val="left" w:pos="123"/>
          <w:tab w:val="left" w:pos="2268"/>
          <w:tab w:val="left" w:pos="3240"/>
          <w:tab w:val="left" w:pos="3402"/>
          <w:tab w:val="left" w:pos="3545"/>
          <w:tab w:val="left" w:pos="4254"/>
          <w:tab w:val="left" w:pos="4963"/>
          <w:tab w:val="left" w:pos="5672"/>
          <w:tab w:val="left" w:pos="6381"/>
          <w:tab w:val="left" w:pos="7090"/>
          <w:tab w:val="left" w:pos="7799"/>
          <w:tab w:val="left" w:pos="8508"/>
          <w:tab w:val="left" w:pos="9217"/>
          <w:tab w:val="left" w:pos="9926"/>
        </w:tabs>
        <w:jc w:val="both"/>
        <w:rPr>
          <w:rFonts w:ascii="Book Antiqua" w:hAnsi="Book Antiqua"/>
          <w:sz w:val="22"/>
          <w:szCs w:val="22"/>
        </w:rPr>
      </w:pPr>
      <w:r w:rsidRPr="005631BA">
        <w:rPr>
          <w:rFonts w:ascii="Book Antiqua" w:hAnsi="Book Antiqua"/>
          <w:b/>
          <w:sz w:val="22"/>
          <w:szCs w:val="22"/>
          <w:u w:val="single"/>
        </w:rPr>
        <w:t xml:space="preserve">PRESENTS </w:t>
      </w:r>
      <w:r w:rsidRPr="005631BA">
        <w:rPr>
          <w:rFonts w:ascii="Book Antiqua" w:hAnsi="Book Antiqua"/>
          <w:b/>
          <w:sz w:val="22"/>
          <w:szCs w:val="22"/>
        </w:rPr>
        <w:t>:</w:t>
      </w:r>
      <w:r w:rsidRPr="005631BA">
        <w:rPr>
          <w:rFonts w:ascii="Book Antiqua" w:hAnsi="Book Antiqua"/>
          <w:sz w:val="22"/>
          <w:szCs w:val="22"/>
        </w:rPr>
        <w:t xml:space="preserve"> Monsieur </w:t>
      </w:r>
      <w:proofErr w:type="spellStart"/>
      <w:r w:rsidRPr="005631BA">
        <w:rPr>
          <w:rFonts w:ascii="Book Antiqua" w:hAnsi="Book Antiqua"/>
          <w:sz w:val="22"/>
          <w:szCs w:val="22"/>
        </w:rPr>
        <w:t>Tanneau</w:t>
      </w:r>
      <w:proofErr w:type="spellEnd"/>
      <w:r w:rsidRPr="005631BA">
        <w:rPr>
          <w:rFonts w:ascii="Book Antiqua" w:hAnsi="Book Antiqua"/>
          <w:sz w:val="22"/>
          <w:szCs w:val="22"/>
        </w:rPr>
        <w:t xml:space="preserve"> Jean Luc, Monsieur Le </w:t>
      </w:r>
      <w:proofErr w:type="spellStart"/>
      <w:r w:rsidRPr="005631BA">
        <w:rPr>
          <w:rFonts w:ascii="Book Antiqua" w:hAnsi="Book Antiqua"/>
          <w:sz w:val="22"/>
          <w:szCs w:val="22"/>
        </w:rPr>
        <w:t>Balch</w:t>
      </w:r>
      <w:proofErr w:type="spellEnd"/>
      <w:r w:rsidRPr="005631BA">
        <w:rPr>
          <w:rFonts w:ascii="Book Antiqua" w:hAnsi="Book Antiqua"/>
          <w:sz w:val="22"/>
          <w:szCs w:val="22"/>
        </w:rPr>
        <w:t xml:space="preserve"> Daniel, Monsieur Brunot Pierre, Madame </w:t>
      </w:r>
      <w:proofErr w:type="spellStart"/>
      <w:r w:rsidRPr="005631BA">
        <w:rPr>
          <w:rFonts w:ascii="Book Antiqua" w:hAnsi="Book Antiqua"/>
          <w:sz w:val="22"/>
          <w:szCs w:val="22"/>
        </w:rPr>
        <w:t>Gadonnay</w:t>
      </w:r>
      <w:proofErr w:type="spellEnd"/>
      <w:r w:rsidRPr="005631BA">
        <w:rPr>
          <w:rFonts w:ascii="Book Antiqua" w:hAnsi="Book Antiqua"/>
          <w:sz w:val="22"/>
          <w:szCs w:val="22"/>
        </w:rPr>
        <w:t xml:space="preserve"> Stéphanie, Monsieur Daniel </w:t>
      </w:r>
      <w:proofErr w:type="spellStart"/>
      <w:r w:rsidRPr="005631BA">
        <w:rPr>
          <w:rFonts w:ascii="Book Antiqua" w:hAnsi="Book Antiqua"/>
          <w:sz w:val="22"/>
          <w:szCs w:val="22"/>
        </w:rPr>
        <w:t>René-Claude</w:t>
      </w:r>
      <w:proofErr w:type="spellEnd"/>
      <w:r w:rsidRPr="005631BA">
        <w:rPr>
          <w:rFonts w:ascii="Book Antiqua" w:hAnsi="Book Antiqua"/>
          <w:sz w:val="22"/>
          <w:szCs w:val="22"/>
        </w:rPr>
        <w:t xml:space="preserve">, Madame Le Gall Gaëlle, Monsieur </w:t>
      </w:r>
      <w:proofErr w:type="spellStart"/>
      <w:r w:rsidRPr="005631BA">
        <w:rPr>
          <w:rFonts w:ascii="Book Antiqua" w:hAnsi="Book Antiqua"/>
          <w:sz w:val="22"/>
          <w:szCs w:val="22"/>
        </w:rPr>
        <w:t>Kerriou</w:t>
      </w:r>
      <w:proofErr w:type="spellEnd"/>
      <w:r w:rsidRPr="005631BA">
        <w:rPr>
          <w:rFonts w:ascii="Book Antiqua" w:hAnsi="Book Antiqua"/>
          <w:sz w:val="22"/>
          <w:szCs w:val="22"/>
        </w:rPr>
        <w:t xml:space="preserve"> Christian, Madame </w:t>
      </w:r>
      <w:proofErr w:type="spellStart"/>
      <w:r w:rsidRPr="005631BA">
        <w:rPr>
          <w:rFonts w:ascii="Book Antiqua" w:hAnsi="Book Antiqua"/>
          <w:sz w:val="22"/>
          <w:szCs w:val="22"/>
        </w:rPr>
        <w:t>Gléhen</w:t>
      </w:r>
      <w:proofErr w:type="spellEnd"/>
      <w:r w:rsidRPr="005631BA">
        <w:rPr>
          <w:rFonts w:ascii="Book Antiqua" w:hAnsi="Book Antiqua"/>
          <w:sz w:val="22"/>
          <w:szCs w:val="22"/>
        </w:rPr>
        <w:t xml:space="preserve"> Danièle, Madame </w:t>
      </w:r>
      <w:proofErr w:type="spellStart"/>
      <w:r w:rsidRPr="005631BA">
        <w:rPr>
          <w:rFonts w:ascii="Book Antiqua" w:hAnsi="Book Antiqua"/>
          <w:sz w:val="22"/>
          <w:szCs w:val="22"/>
        </w:rPr>
        <w:t>Ranzoni</w:t>
      </w:r>
      <w:proofErr w:type="spellEnd"/>
      <w:r w:rsidRPr="005631BA">
        <w:rPr>
          <w:rFonts w:ascii="Book Antiqua" w:hAnsi="Book Antiqua"/>
          <w:sz w:val="22"/>
          <w:szCs w:val="22"/>
        </w:rPr>
        <w:t xml:space="preserve"> Michèle, Monsieur Palud Bernard, Madame Barbet Sylvie, Monsieur Maréchal Dominique, Monsieur </w:t>
      </w:r>
      <w:proofErr w:type="spellStart"/>
      <w:r w:rsidRPr="005631BA">
        <w:rPr>
          <w:rFonts w:ascii="Book Antiqua" w:hAnsi="Book Antiqua"/>
          <w:sz w:val="22"/>
          <w:szCs w:val="22"/>
        </w:rPr>
        <w:t>Péron</w:t>
      </w:r>
      <w:proofErr w:type="spellEnd"/>
      <w:r w:rsidRPr="005631BA">
        <w:rPr>
          <w:rFonts w:ascii="Book Antiqua" w:hAnsi="Book Antiqua"/>
          <w:sz w:val="22"/>
          <w:szCs w:val="22"/>
        </w:rPr>
        <w:t xml:space="preserve"> Roger, Madame Le Goff Françoise, Madame Volant Laure, Monsieur Henri Le </w:t>
      </w:r>
      <w:proofErr w:type="spellStart"/>
      <w:r w:rsidRPr="005631BA">
        <w:rPr>
          <w:rFonts w:ascii="Book Antiqua" w:hAnsi="Book Antiqua"/>
          <w:sz w:val="22"/>
          <w:szCs w:val="22"/>
        </w:rPr>
        <w:t>Cleach</w:t>
      </w:r>
      <w:proofErr w:type="spellEnd"/>
      <w:r w:rsidRPr="005631BA">
        <w:rPr>
          <w:rFonts w:ascii="Book Antiqua" w:hAnsi="Book Antiqua"/>
          <w:sz w:val="22"/>
          <w:szCs w:val="22"/>
        </w:rPr>
        <w:t xml:space="preserve">, Monsieur Le Bellec Etienne, Monsieur </w:t>
      </w:r>
      <w:proofErr w:type="spellStart"/>
      <w:r w:rsidRPr="005631BA">
        <w:rPr>
          <w:rFonts w:ascii="Book Antiqua" w:hAnsi="Book Antiqua"/>
          <w:sz w:val="22"/>
          <w:szCs w:val="22"/>
        </w:rPr>
        <w:t>Couant</w:t>
      </w:r>
      <w:proofErr w:type="spellEnd"/>
      <w:r w:rsidRPr="005631BA">
        <w:rPr>
          <w:rFonts w:ascii="Book Antiqua" w:hAnsi="Book Antiqua"/>
          <w:sz w:val="22"/>
          <w:szCs w:val="22"/>
        </w:rPr>
        <w:t xml:space="preserve"> Guillaume. </w:t>
      </w:r>
    </w:p>
    <w:p w:rsidR="005631BA" w:rsidRPr="005631BA" w:rsidRDefault="005631BA" w:rsidP="005631BA">
      <w:pPr>
        <w:tabs>
          <w:tab w:val="left" w:pos="123"/>
          <w:tab w:val="left" w:pos="2268"/>
          <w:tab w:val="left" w:pos="3240"/>
          <w:tab w:val="left" w:pos="3402"/>
          <w:tab w:val="left" w:pos="3545"/>
          <w:tab w:val="left" w:pos="4254"/>
          <w:tab w:val="left" w:pos="4963"/>
          <w:tab w:val="left" w:pos="5672"/>
          <w:tab w:val="left" w:pos="6381"/>
          <w:tab w:val="left" w:pos="7090"/>
          <w:tab w:val="left" w:pos="7799"/>
          <w:tab w:val="left" w:pos="8508"/>
          <w:tab w:val="left" w:pos="9217"/>
          <w:tab w:val="left" w:pos="9926"/>
        </w:tabs>
        <w:jc w:val="both"/>
        <w:rPr>
          <w:rFonts w:ascii="Book Antiqua" w:hAnsi="Book Antiqua"/>
          <w:sz w:val="22"/>
          <w:szCs w:val="22"/>
        </w:rPr>
      </w:pPr>
    </w:p>
    <w:p w:rsidR="005631BA" w:rsidRPr="005631BA" w:rsidRDefault="005631BA" w:rsidP="005631BA">
      <w:pPr>
        <w:tabs>
          <w:tab w:val="left" w:pos="123"/>
          <w:tab w:val="left" w:pos="3261"/>
          <w:tab w:val="left" w:pos="3402"/>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Book Antiqua" w:hAnsi="Book Antiqua"/>
          <w:sz w:val="22"/>
          <w:szCs w:val="22"/>
        </w:rPr>
      </w:pPr>
      <w:r w:rsidRPr="005631BA">
        <w:rPr>
          <w:rFonts w:ascii="Book Antiqua" w:hAnsi="Book Antiqua"/>
          <w:b/>
          <w:sz w:val="22"/>
          <w:szCs w:val="22"/>
          <w:u w:val="single"/>
        </w:rPr>
        <w:t xml:space="preserve">PRESENTS PAR PROCURATION </w:t>
      </w:r>
      <w:r w:rsidRPr="005631BA">
        <w:rPr>
          <w:rFonts w:ascii="Book Antiqua" w:hAnsi="Book Antiqua"/>
          <w:b/>
          <w:sz w:val="22"/>
          <w:szCs w:val="22"/>
        </w:rPr>
        <w:t>:</w:t>
      </w:r>
      <w:r w:rsidRPr="005631BA">
        <w:rPr>
          <w:rFonts w:ascii="Book Antiqua" w:hAnsi="Book Antiqua"/>
          <w:sz w:val="22"/>
          <w:szCs w:val="22"/>
        </w:rPr>
        <w:t xml:space="preserve"> Madame </w:t>
      </w:r>
      <w:proofErr w:type="spellStart"/>
      <w:r w:rsidRPr="005631BA">
        <w:rPr>
          <w:rFonts w:ascii="Book Antiqua" w:hAnsi="Book Antiqua"/>
          <w:sz w:val="22"/>
          <w:szCs w:val="22"/>
        </w:rPr>
        <w:t>Bodéré</w:t>
      </w:r>
      <w:proofErr w:type="spellEnd"/>
      <w:r w:rsidRPr="005631BA">
        <w:rPr>
          <w:rFonts w:ascii="Book Antiqua" w:hAnsi="Book Antiqua"/>
          <w:sz w:val="22"/>
          <w:szCs w:val="22"/>
        </w:rPr>
        <w:t xml:space="preserve"> Albane donne pouvoir à Madame Volant Laure, Monsieur </w:t>
      </w:r>
      <w:proofErr w:type="spellStart"/>
      <w:r w:rsidRPr="005631BA">
        <w:rPr>
          <w:rFonts w:ascii="Book Antiqua" w:hAnsi="Book Antiqua"/>
          <w:sz w:val="22"/>
          <w:szCs w:val="22"/>
        </w:rPr>
        <w:t>Biet</w:t>
      </w:r>
      <w:proofErr w:type="spellEnd"/>
      <w:r w:rsidRPr="005631BA">
        <w:rPr>
          <w:rFonts w:ascii="Book Antiqua" w:hAnsi="Book Antiqua"/>
          <w:sz w:val="22"/>
          <w:szCs w:val="22"/>
        </w:rPr>
        <w:t xml:space="preserve"> Thomas donne pouvoir à Madame Le Gall Gaëlle,  Monsieur </w:t>
      </w:r>
      <w:proofErr w:type="spellStart"/>
      <w:r w:rsidRPr="005631BA">
        <w:rPr>
          <w:rFonts w:ascii="Book Antiqua" w:hAnsi="Book Antiqua"/>
          <w:sz w:val="22"/>
          <w:szCs w:val="22"/>
        </w:rPr>
        <w:t>Guéguen</w:t>
      </w:r>
      <w:proofErr w:type="spellEnd"/>
      <w:r w:rsidRPr="005631BA">
        <w:rPr>
          <w:rFonts w:ascii="Book Antiqua" w:hAnsi="Book Antiqua"/>
          <w:sz w:val="22"/>
          <w:szCs w:val="22"/>
        </w:rPr>
        <w:t xml:space="preserve"> Johan donne pouvoir à Monsieur Le </w:t>
      </w:r>
      <w:proofErr w:type="spellStart"/>
      <w:r w:rsidRPr="005631BA">
        <w:rPr>
          <w:rFonts w:ascii="Book Antiqua" w:hAnsi="Book Antiqua"/>
          <w:sz w:val="22"/>
          <w:szCs w:val="22"/>
        </w:rPr>
        <w:t>Balch</w:t>
      </w:r>
      <w:proofErr w:type="spellEnd"/>
      <w:r w:rsidRPr="005631BA">
        <w:rPr>
          <w:rFonts w:ascii="Book Antiqua" w:hAnsi="Book Antiqua"/>
          <w:sz w:val="22"/>
          <w:szCs w:val="22"/>
        </w:rPr>
        <w:t xml:space="preserve"> Daniel, Madame Laurent Jocelyne donne pouvoir à Monsieur </w:t>
      </w:r>
      <w:proofErr w:type="spellStart"/>
      <w:r w:rsidRPr="005631BA">
        <w:rPr>
          <w:rFonts w:ascii="Book Antiqua" w:hAnsi="Book Antiqua"/>
          <w:sz w:val="22"/>
          <w:szCs w:val="22"/>
        </w:rPr>
        <w:t>Couant</w:t>
      </w:r>
      <w:proofErr w:type="spellEnd"/>
      <w:r w:rsidRPr="005631BA">
        <w:rPr>
          <w:rFonts w:ascii="Book Antiqua" w:hAnsi="Book Antiqua"/>
          <w:sz w:val="22"/>
          <w:szCs w:val="22"/>
        </w:rPr>
        <w:t xml:space="preserve"> Guillaume. </w:t>
      </w:r>
    </w:p>
    <w:p w:rsidR="005631BA" w:rsidRPr="005631BA" w:rsidRDefault="005631BA" w:rsidP="005631BA">
      <w:pPr>
        <w:tabs>
          <w:tab w:val="left" w:pos="123"/>
          <w:tab w:val="left" w:pos="3261"/>
          <w:tab w:val="left" w:pos="3402"/>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Book Antiqua" w:hAnsi="Book Antiqua"/>
          <w:b/>
          <w:sz w:val="22"/>
          <w:szCs w:val="22"/>
        </w:rPr>
      </w:pPr>
    </w:p>
    <w:p w:rsidR="005631BA" w:rsidRPr="005631BA" w:rsidRDefault="005631BA" w:rsidP="005631BA">
      <w:pPr>
        <w:tabs>
          <w:tab w:val="left" w:pos="123"/>
          <w:tab w:val="left" w:pos="3261"/>
          <w:tab w:val="left" w:pos="3402"/>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Book Antiqua" w:hAnsi="Book Antiqua"/>
          <w:sz w:val="22"/>
          <w:szCs w:val="22"/>
        </w:rPr>
      </w:pPr>
      <w:r w:rsidRPr="005631BA">
        <w:rPr>
          <w:rFonts w:ascii="Book Antiqua" w:hAnsi="Book Antiqua"/>
          <w:b/>
          <w:sz w:val="22"/>
          <w:szCs w:val="22"/>
          <w:u w:val="single"/>
        </w:rPr>
        <w:t xml:space="preserve">ABSENTE : </w:t>
      </w:r>
      <w:r w:rsidRPr="005631BA">
        <w:rPr>
          <w:rFonts w:ascii="Book Antiqua" w:hAnsi="Book Antiqua"/>
          <w:sz w:val="22"/>
          <w:szCs w:val="22"/>
        </w:rPr>
        <w:t xml:space="preserve">Madame </w:t>
      </w:r>
      <w:proofErr w:type="spellStart"/>
      <w:r w:rsidRPr="005631BA">
        <w:rPr>
          <w:rFonts w:ascii="Book Antiqua" w:hAnsi="Book Antiqua"/>
          <w:sz w:val="22"/>
          <w:szCs w:val="22"/>
        </w:rPr>
        <w:t>Aubrée-Lijour</w:t>
      </w:r>
      <w:proofErr w:type="spellEnd"/>
      <w:r w:rsidRPr="005631BA">
        <w:rPr>
          <w:rFonts w:ascii="Book Antiqua" w:hAnsi="Book Antiqua"/>
          <w:sz w:val="22"/>
          <w:szCs w:val="22"/>
        </w:rPr>
        <w:t xml:space="preserve"> Marie-Claude.</w:t>
      </w:r>
    </w:p>
    <w:p w:rsidR="005631BA" w:rsidRPr="005631BA" w:rsidRDefault="005631BA" w:rsidP="005631BA">
      <w:pPr>
        <w:tabs>
          <w:tab w:val="left" w:pos="123"/>
          <w:tab w:val="left" w:pos="3261"/>
          <w:tab w:val="left" w:pos="3402"/>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rFonts w:ascii="Book Antiqua" w:hAnsi="Book Antiqua"/>
          <w:b/>
          <w:sz w:val="22"/>
          <w:szCs w:val="22"/>
        </w:rPr>
      </w:pPr>
    </w:p>
    <w:p w:rsidR="005631BA" w:rsidRPr="005631BA" w:rsidRDefault="005631BA" w:rsidP="005631BA">
      <w:pPr>
        <w:jc w:val="both"/>
        <w:rPr>
          <w:rFonts w:ascii="Book Antiqua" w:hAnsi="Book Antiqua"/>
          <w:sz w:val="22"/>
          <w:szCs w:val="22"/>
        </w:rPr>
      </w:pPr>
      <w:r w:rsidRPr="005631BA">
        <w:rPr>
          <w:rFonts w:ascii="Book Antiqua" w:hAnsi="Book Antiqua"/>
          <w:b/>
          <w:sz w:val="22"/>
          <w:szCs w:val="22"/>
          <w:u w:val="single"/>
        </w:rPr>
        <w:t xml:space="preserve">SECRETAIRE DE SEANCE </w:t>
      </w:r>
      <w:r w:rsidRPr="005631BA">
        <w:rPr>
          <w:rFonts w:ascii="Book Antiqua" w:hAnsi="Book Antiqua"/>
          <w:b/>
          <w:sz w:val="22"/>
          <w:szCs w:val="22"/>
        </w:rPr>
        <w:t>:</w:t>
      </w:r>
      <w:r w:rsidRPr="005631BA">
        <w:rPr>
          <w:rFonts w:ascii="Book Antiqua" w:hAnsi="Book Antiqua"/>
          <w:sz w:val="22"/>
          <w:szCs w:val="22"/>
        </w:rPr>
        <w:t xml:space="preserve"> Madame </w:t>
      </w:r>
      <w:proofErr w:type="spellStart"/>
      <w:r w:rsidRPr="005631BA">
        <w:rPr>
          <w:rFonts w:ascii="Book Antiqua" w:hAnsi="Book Antiqua"/>
          <w:sz w:val="22"/>
          <w:szCs w:val="22"/>
        </w:rPr>
        <w:t>Gadonnay</w:t>
      </w:r>
      <w:proofErr w:type="spellEnd"/>
      <w:r w:rsidRPr="005631BA">
        <w:rPr>
          <w:rFonts w:ascii="Book Antiqua" w:hAnsi="Book Antiqua"/>
          <w:sz w:val="22"/>
          <w:szCs w:val="22"/>
        </w:rPr>
        <w:t xml:space="preserve"> Stéphanie.</w:t>
      </w:r>
    </w:p>
    <w:p w:rsidR="005631BA" w:rsidRPr="005631BA" w:rsidRDefault="005631BA" w:rsidP="005631BA">
      <w:pPr>
        <w:jc w:val="both"/>
        <w:rPr>
          <w:rFonts w:ascii="Book Antiqua" w:hAnsi="Book Antiqua"/>
          <w:sz w:val="22"/>
          <w:szCs w:val="22"/>
        </w:rPr>
      </w:pPr>
    </w:p>
    <w:p w:rsidR="005631BA" w:rsidRPr="005631BA" w:rsidRDefault="005631BA" w:rsidP="005631BA">
      <w:pPr>
        <w:jc w:val="both"/>
        <w:rPr>
          <w:rFonts w:ascii="Book Antiqua" w:hAnsi="Book Antiqua"/>
          <w:sz w:val="22"/>
          <w:szCs w:val="22"/>
        </w:rPr>
      </w:pPr>
      <w:r w:rsidRPr="005631BA">
        <w:rPr>
          <w:rFonts w:ascii="Book Antiqua" w:hAnsi="Book Antiqua"/>
          <w:b/>
          <w:sz w:val="22"/>
          <w:szCs w:val="22"/>
          <w:u w:val="single"/>
        </w:rPr>
        <w:t>Nombre de membres en exercice </w:t>
      </w:r>
      <w:r w:rsidRPr="005631BA">
        <w:rPr>
          <w:rFonts w:ascii="Book Antiqua" w:hAnsi="Book Antiqua"/>
          <w:b/>
          <w:sz w:val="22"/>
          <w:szCs w:val="22"/>
        </w:rPr>
        <w:t xml:space="preserve">: </w:t>
      </w:r>
      <w:r w:rsidRPr="005631BA">
        <w:rPr>
          <w:rFonts w:ascii="Book Antiqua" w:hAnsi="Book Antiqua"/>
          <w:sz w:val="22"/>
          <w:szCs w:val="22"/>
        </w:rPr>
        <w:t>23</w:t>
      </w:r>
    </w:p>
    <w:p w:rsidR="005631BA" w:rsidRPr="005631BA" w:rsidRDefault="005631BA" w:rsidP="005631BA">
      <w:pPr>
        <w:jc w:val="both"/>
        <w:rPr>
          <w:rFonts w:ascii="Book Antiqua" w:hAnsi="Book Antiqua"/>
          <w:sz w:val="22"/>
          <w:szCs w:val="22"/>
        </w:rPr>
      </w:pPr>
      <w:r w:rsidRPr="005631BA">
        <w:rPr>
          <w:rFonts w:ascii="Book Antiqua" w:hAnsi="Book Antiqua"/>
          <w:b/>
          <w:sz w:val="22"/>
          <w:szCs w:val="22"/>
          <w:u w:val="single"/>
        </w:rPr>
        <w:t>Nombre de membres ayant pris part à la délibération </w:t>
      </w:r>
      <w:r w:rsidRPr="005631BA">
        <w:rPr>
          <w:rFonts w:ascii="Book Antiqua" w:hAnsi="Book Antiqua"/>
          <w:b/>
          <w:sz w:val="22"/>
          <w:szCs w:val="22"/>
        </w:rPr>
        <w:t xml:space="preserve">: </w:t>
      </w:r>
      <w:r w:rsidRPr="005631BA">
        <w:rPr>
          <w:rFonts w:ascii="Book Antiqua" w:hAnsi="Book Antiqua"/>
          <w:sz w:val="22"/>
          <w:szCs w:val="22"/>
        </w:rPr>
        <w:t>22</w:t>
      </w:r>
    </w:p>
    <w:p w:rsidR="00587858" w:rsidRDefault="00587858" w:rsidP="00587858">
      <w:pPr>
        <w:jc w:val="both"/>
        <w:rPr>
          <w:rFonts w:ascii="Book Antiqua" w:hAnsi="Book Antiqua"/>
          <w:b/>
          <w:bCs/>
          <w:szCs w:val="24"/>
          <w:u w:val="single"/>
        </w:rPr>
      </w:pPr>
    </w:p>
    <w:p w:rsidR="004A647C" w:rsidRDefault="008F05AE" w:rsidP="004A647C">
      <w:pPr>
        <w:jc w:val="both"/>
        <w:rPr>
          <w:rFonts w:ascii="Book Antiqua" w:hAnsi="Book Antiqua"/>
          <w:bCs/>
          <w:szCs w:val="24"/>
        </w:rPr>
      </w:pPr>
      <w:r w:rsidRPr="00B43062">
        <w:rPr>
          <w:rFonts w:ascii="Book Antiqua" w:hAnsi="Book Antiqua"/>
          <w:bCs/>
          <w:szCs w:val="24"/>
        </w:rPr>
        <w:t>Le compte rendu du dernier conseil est approuvé</w:t>
      </w:r>
      <w:r>
        <w:rPr>
          <w:rFonts w:ascii="Book Antiqua" w:hAnsi="Book Antiqua"/>
          <w:bCs/>
          <w:szCs w:val="24"/>
        </w:rPr>
        <w:t xml:space="preserve"> par l’ensemble des présents.</w:t>
      </w:r>
    </w:p>
    <w:p w:rsidR="008F05AE" w:rsidRDefault="008F05AE" w:rsidP="004A647C">
      <w:pPr>
        <w:jc w:val="both"/>
        <w:rPr>
          <w:rFonts w:ascii="Book Antiqua" w:hAnsi="Book Antiqua"/>
          <w:szCs w:val="24"/>
        </w:rPr>
      </w:pPr>
      <w:bookmarkStart w:id="0" w:name="_GoBack"/>
      <w:bookmarkEnd w:id="0"/>
    </w:p>
    <w:p w:rsidR="00D72ABC" w:rsidRPr="00D72ABC" w:rsidRDefault="00D72ABC" w:rsidP="00D72ABC">
      <w:pPr>
        <w:jc w:val="both"/>
        <w:rPr>
          <w:rFonts w:ascii="Book Antiqua" w:hAnsi="Book Antiqua"/>
          <w:b/>
          <w:bCs/>
          <w:szCs w:val="24"/>
          <w:u w:val="single"/>
        </w:rPr>
      </w:pPr>
      <w:r w:rsidRPr="00D72ABC">
        <w:rPr>
          <w:rFonts w:ascii="Book Antiqua" w:hAnsi="Book Antiqua"/>
          <w:b/>
          <w:bCs/>
          <w:szCs w:val="24"/>
          <w:u w:val="single"/>
        </w:rPr>
        <w:t>Vote des taux d’imposition pour l’année 2016</w:t>
      </w:r>
      <w:r w:rsidR="004817A4">
        <w:rPr>
          <w:rFonts w:ascii="Book Antiqua" w:hAnsi="Book Antiqua"/>
          <w:b/>
          <w:bCs/>
          <w:szCs w:val="24"/>
          <w:u w:val="single"/>
        </w:rPr>
        <w:t>.</w:t>
      </w:r>
    </w:p>
    <w:p w:rsidR="00D72ABC" w:rsidRPr="00D72ABC" w:rsidRDefault="00D72ABC" w:rsidP="00D72ABC">
      <w:pPr>
        <w:jc w:val="both"/>
        <w:rPr>
          <w:rFonts w:ascii="Book Antiqua" w:hAnsi="Book Antiqua"/>
          <w:bCs/>
          <w:szCs w:val="24"/>
        </w:rPr>
      </w:pPr>
      <w:r w:rsidRPr="00D72ABC">
        <w:rPr>
          <w:rFonts w:ascii="Book Antiqua" w:hAnsi="Book Antiqua"/>
          <w:bCs/>
          <w:szCs w:val="24"/>
        </w:rPr>
        <w:t xml:space="preserve">Comme chaque année, au premier trimestre, la commune est destinataire de l’état de notification des taux d’imposition des taxes directes locales (taxe d’habitation, taxes foncières). </w:t>
      </w:r>
    </w:p>
    <w:p w:rsidR="00D72ABC" w:rsidRDefault="00D72ABC" w:rsidP="00D72ABC">
      <w:pPr>
        <w:jc w:val="both"/>
        <w:rPr>
          <w:rFonts w:ascii="Book Antiqua" w:hAnsi="Book Antiqua"/>
          <w:bCs/>
          <w:szCs w:val="24"/>
        </w:rPr>
      </w:pPr>
      <w:r w:rsidRPr="00D72ABC">
        <w:rPr>
          <w:rFonts w:ascii="Book Antiqua" w:hAnsi="Book Antiqua"/>
          <w:bCs/>
          <w:szCs w:val="24"/>
        </w:rPr>
        <w:t>Monsieur le Maire propose que les taux d’imposition des trois taxes restent inchangés par rapport à 201</w:t>
      </w:r>
      <w:r>
        <w:rPr>
          <w:rFonts w:ascii="Book Antiqua" w:hAnsi="Book Antiqua"/>
          <w:bCs/>
          <w:szCs w:val="24"/>
        </w:rPr>
        <w:t>5</w:t>
      </w:r>
      <w:r w:rsidRPr="00D72ABC">
        <w:rPr>
          <w:rFonts w:ascii="Book Antiqua" w:hAnsi="Book Antiqua"/>
          <w:bCs/>
          <w:szCs w:val="24"/>
        </w:rPr>
        <w:t xml:space="preserve"> ce qui donnerait le produit fiscal suivant :</w:t>
      </w:r>
    </w:p>
    <w:p w:rsidR="005631BA" w:rsidRDefault="005631BA" w:rsidP="00D72ABC">
      <w:pPr>
        <w:jc w:val="both"/>
        <w:rPr>
          <w:rFonts w:ascii="Book Antiqua" w:hAnsi="Book Antiqua"/>
          <w:bCs/>
          <w:szCs w:val="24"/>
        </w:rPr>
      </w:pPr>
    </w:p>
    <w:p w:rsidR="005631BA" w:rsidRPr="00D72ABC" w:rsidRDefault="005631BA" w:rsidP="00D72ABC">
      <w:pPr>
        <w:jc w:val="both"/>
        <w:rPr>
          <w:rFonts w:ascii="Book Antiqua" w:hAnsi="Book Antiqua"/>
          <w:bCs/>
          <w:szCs w:val="24"/>
        </w:rPr>
      </w:pPr>
    </w:p>
    <w:p w:rsidR="00D72ABC" w:rsidRPr="00D72ABC" w:rsidRDefault="00D72ABC" w:rsidP="00D72ABC">
      <w:pPr>
        <w:jc w:val="both"/>
        <w:rPr>
          <w:rFonts w:ascii="Book Antiqua" w:hAnsi="Book Antiqua"/>
          <w:bCs/>
          <w:szCs w:val="24"/>
        </w:rPr>
      </w:pPr>
    </w:p>
    <w:tbl>
      <w:tblPr>
        <w:tblW w:w="7374" w:type="dxa"/>
        <w:jc w:val="center"/>
        <w:tblInd w:w="55" w:type="dxa"/>
        <w:tblCellMar>
          <w:left w:w="70" w:type="dxa"/>
          <w:right w:w="70" w:type="dxa"/>
        </w:tblCellMar>
        <w:tblLook w:val="04A0" w:firstRow="1" w:lastRow="0" w:firstColumn="1" w:lastColumn="0" w:noHBand="0" w:noVBand="1"/>
      </w:tblPr>
      <w:tblGrid>
        <w:gridCol w:w="2794"/>
        <w:gridCol w:w="2156"/>
        <w:gridCol w:w="2424"/>
      </w:tblGrid>
      <w:tr w:rsidR="00D72ABC" w:rsidRPr="00D72ABC" w:rsidTr="00D7563D">
        <w:trPr>
          <w:trHeight w:val="615"/>
          <w:jc w:val="center"/>
        </w:trPr>
        <w:tc>
          <w:tcPr>
            <w:tcW w:w="2794" w:type="dxa"/>
            <w:tcBorders>
              <w:top w:val="nil"/>
              <w:left w:val="nil"/>
              <w:bottom w:val="nil"/>
              <w:right w:val="nil"/>
            </w:tcBorders>
            <w:shd w:val="clear" w:color="auto" w:fill="auto"/>
            <w:noWrap/>
            <w:vAlign w:val="center"/>
            <w:hideMark/>
          </w:tcPr>
          <w:p w:rsidR="00D72ABC" w:rsidRPr="00D72ABC" w:rsidRDefault="00D72ABC" w:rsidP="00D72ABC">
            <w:pPr>
              <w:jc w:val="both"/>
              <w:rPr>
                <w:rFonts w:ascii="Book Antiqua" w:hAnsi="Book Antiqua"/>
                <w:bCs/>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ABC" w:rsidRPr="00D72ABC" w:rsidRDefault="00D72ABC" w:rsidP="00D72ABC">
            <w:pPr>
              <w:jc w:val="center"/>
              <w:rPr>
                <w:rFonts w:ascii="Book Antiqua" w:hAnsi="Book Antiqua"/>
                <w:b/>
                <w:bCs/>
                <w:szCs w:val="24"/>
              </w:rPr>
            </w:pPr>
            <w:r w:rsidRPr="00D72ABC">
              <w:rPr>
                <w:rFonts w:ascii="Book Antiqua" w:hAnsi="Book Antiqua"/>
                <w:b/>
                <w:bCs/>
                <w:szCs w:val="24"/>
              </w:rPr>
              <w:t>Taux d'imposition maintenu</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D72ABC" w:rsidRPr="00D72ABC" w:rsidRDefault="00D72ABC" w:rsidP="00D72ABC">
            <w:pPr>
              <w:jc w:val="center"/>
              <w:rPr>
                <w:rFonts w:ascii="Book Antiqua" w:hAnsi="Book Antiqua"/>
                <w:b/>
                <w:bCs/>
                <w:szCs w:val="24"/>
              </w:rPr>
            </w:pPr>
            <w:r w:rsidRPr="00D72ABC">
              <w:rPr>
                <w:rFonts w:ascii="Book Antiqua" w:hAnsi="Book Antiqua"/>
                <w:b/>
                <w:bCs/>
                <w:szCs w:val="24"/>
              </w:rPr>
              <w:t>Produit fiscal</w:t>
            </w:r>
          </w:p>
        </w:tc>
      </w:tr>
      <w:tr w:rsidR="00D72ABC" w:rsidRPr="00D72ABC" w:rsidTr="00D7563D">
        <w:trPr>
          <w:trHeight w:val="330"/>
          <w:jc w:val="center"/>
        </w:trPr>
        <w:tc>
          <w:tcPr>
            <w:tcW w:w="2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ABC" w:rsidRPr="00D72ABC" w:rsidRDefault="00D72ABC" w:rsidP="00D72ABC">
            <w:pPr>
              <w:jc w:val="both"/>
              <w:rPr>
                <w:rFonts w:ascii="Book Antiqua" w:hAnsi="Book Antiqua"/>
                <w:b/>
                <w:bCs/>
                <w:szCs w:val="24"/>
              </w:rPr>
            </w:pPr>
            <w:r w:rsidRPr="00D72ABC">
              <w:rPr>
                <w:rFonts w:ascii="Book Antiqua" w:hAnsi="Book Antiqua"/>
                <w:b/>
                <w:bCs/>
                <w:szCs w:val="24"/>
              </w:rPr>
              <w:t>Taxe d'habitation</w:t>
            </w:r>
          </w:p>
        </w:tc>
        <w:tc>
          <w:tcPr>
            <w:tcW w:w="2156" w:type="dxa"/>
            <w:tcBorders>
              <w:top w:val="nil"/>
              <w:left w:val="nil"/>
              <w:bottom w:val="single" w:sz="4" w:space="0" w:color="auto"/>
              <w:right w:val="single" w:sz="4" w:space="0" w:color="auto"/>
            </w:tcBorders>
            <w:shd w:val="clear" w:color="auto" w:fill="auto"/>
            <w:noWrap/>
            <w:vAlign w:val="bottom"/>
            <w:hideMark/>
          </w:tcPr>
          <w:p w:rsidR="00D72ABC" w:rsidRPr="00D72ABC" w:rsidRDefault="00D72ABC" w:rsidP="00D72ABC">
            <w:pPr>
              <w:jc w:val="center"/>
              <w:rPr>
                <w:rFonts w:ascii="Book Antiqua" w:hAnsi="Book Antiqua"/>
                <w:bCs/>
                <w:szCs w:val="24"/>
              </w:rPr>
            </w:pPr>
            <w:r w:rsidRPr="00D72ABC">
              <w:rPr>
                <w:rFonts w:ascii="Book Antiqua" w:hAnsi="Book Antiqua"/>
                <w:bCs/>
                <w:szCs w:val="24"/>
              </w:rPr>
              <w:t>13,20%</w:t>
            </w:r>
          </w:p>
        </w:tc>
        <w:tc>
          <w:tcPr>
            <w:tcW w:w="2424" w:type="dxa"/>
            <w:tcBorders>
              <w:top w:val="nil"/>
              <w:left w:val="nil"/>
              <w:bottom w:val="single" w:sz="4" w:space="0" w:color="auto"/>
              <w:right w:val="single" w:sz="4" w:space="0" w:color="auto"/>
            </w:tcBorders>
            <w:shd w:val="clear" w:color="auto" w:fill="auto"/>
            <w:noWrap/>
            <w:vAlign w:val="bottom"/>
            <w:hideMark/>
          </w:tcPr>
          <w:p w:rsidR="00D72ABC" w:rsidRPr="00D72ABC" w:rsidRDefault="00B63DFF" w:rsidP="00D72ABC">
            <w:pPr>
              <w:jc w:val="center"/>
              <w:rPr>
                <w:rFonts w:ascii="Book Antiqua" w:hAnsi="Book Antiqua"/>
                <w:bCs/>
                <w:szCs w:val="24"/>
              </w:rPr>
            </w:pPr>
            <w:r>
              <w:rPr>
                <w:rFonts w:ascii="Book Antiqua" w:hAnsi="Book Antiqua"/>
                <w:bCs/>
                <w:szCs w:val="24"/>
              </w:rPr>
              <w:t>769 560</w:t>
            </w:r>
            <w:r w:rsidR="00D72ABC" w:rsidRPr="00D72ABC">
              <w:rPr>
                <w:rFonts w:ascii="Book Antiqua" w:hAnsi="Book Antiqua"/>
                <w:bCs/>
                <w:szCs w:val="24"/>
              </w:rPr>
              <w:t>,00 €</w:t>
            </w:r>
          </w:p>
        </w:tc>
      </w:tr>
      <w:tr w:rsidR="00D72ABC" w:rsidRPr="00D72ABC" w:rsidTr="00D7563D">
        <w:trPr>
          <w:trHeight w:val="330"/>
          <w:jc w:val="center"/>
        </w:trPr>
        <w:tc>
          <w:tcPr>
            <w:tcW w:w="2794" w:type="dxa"/>
            <w:tcBorders>
              <w:top w:val="nil"/>
              <w:left w:val="single" w:sz="4" w:space="0" w:color="auto"/>
              <w:bottom w:val="single" w:sz="4" w:space="0" w:color="auto"/>
              <w:right w:val="single" w:sz="4" w:space="0" w:color="auto"/>
            </w:tcBorders>
            <w:shd w:val="clear" w:color="auto" w:fill="auto"/>
            <w:noWrap/>
            <w:vAlign w:val="bottom"/>
            <w:hideMark/>
          </w:tcPr>
          <w:p w:rsidR="00D72ABC" w:rsidRPr="00D72ABC" w:rsidRDefault="00D72ABC" w:rsidP="00D72ABC">
            <w:pPr>
              <w:jc w:val="both"/>
              <w:rPr>
                <w:rFonts w:ascii="Book Antiqua" w:hAnsi="Book Antiqua"/>
                <w:b/>
                <w:bCs/>
                <w:szCs w:val="24"/>
              </w:rPr>
            </w:pPr>
            <w:r w:rsidRPr="00D72ABC">
              <w:rPr>
                <w:rFonts w:ascii="Book Antiqua" w:hAnsi="Book Antiqua"/>
                <w:b/>
                <w:bCs/>
                <w:szCs w:val="24"/>
              </w:rPr>
              <w:t>Taxe foncière (bâti)</w:t>
            </w:r>
          </w:p>
        </w:tc>
        <w:tc>
          <w:tcPr>
            <w:tcW w:w="2156" w:type="dxa"/>
            <w:tcBorders>
              <w:top w:val="nil"/>
              <w:left w:val="nil"/>
              <w:bottom w:val="single" w:sz="4" w:space="0" w:color="auto"/>
              <w:right w:val="single" w:sz="4" w:space="0" w:color="auto"/>
            </w:tcBorders>
            <w:shd w:val="clear" w:color="auto" w:fill="auto"/>
            <w:noWrap/>
            <w:vAlign w:val="bottom"/>
            <w:hideMark/>
          </w:tcPr>
          <w:p w:rsidR="00D72ABC" w:rsidRPr="00D72ABC" w:rsidRDefault="00D72ABC" w:rsidP="00D72ABC">
            <w:pPr>
              <w:jc w:val="center"/>
              <w:rPr>
                <w:rFonts w:ascii="Book Antiqua" w:hAnsi="Book Antiqua"/>
                <w:bCs/>
                <w:szCs w:val="24"/>
              </w:rPr>
            </w:pPr>
            <w:r w:rsidRPr="00D72ABC">
              <w:rPr>
                <w:rFonts w:ascii="Book Antiqua" w:hAnsi="Book Antiqua"/>
                <w:bCs/>
                <w:szCs w:val="24"/>
              </w:rPr>
              <w:t>16,45%</w:t>
            </w:r>
          </w:p>
        </w:tc>
        <w:tc>
          <w:tcPr>
            <w:tcW w:w="2424" w:type="dxa"/>
            <w:tcBorders>
              <w:top w:val="nil"/>
              <w:left w:val="nil"/>
              <w:bottom w:val="single" w:sz="4" w:space="0" w:color="auto"/>
              <w:right w:val="single" w:sz="4" w:space="0" w:color="auto"/>
            </w:tcBorders>
            <w:shd w:val="clear" w:color="auto" w:fill="auto"/>
            <w:noWrap/>
            <w:vAlign w:val="bottom"/>
            <w:hideMark/>
          </w:tcPr>
          <w:p w:rsidR="00D72ABC" w:rsidRPr="00D72ABC" w:rsidRDefault="00B63DFF" w:rsidP="00D72ABC">
            <w:pPr>
              <w:jc w:val="center"/>
              <w:rPr>
                <w:rFonts w:ascii="Book Antiqua" w:hAnsi="Book Antiqua"/>
                <w:bCs/>
                <w:szCs w:val="24"/>
              </w:rPr>
            </w:pPr>
            <w:r>
              <w:rPr>
                <w:rFonts w:ascii="Book Antiqua" w:hAnsi="Book Antiqua"/>
                <w:bCs/>
                <w:szCs w:val="24"/>
              </w:rPr>
              <w:t>718 865,00</w:t>
            </w:r>
            <w:r w:rsidR="00D72ABC" w:rsidRPr="00D72ABC">
              <w:rPr>
                <w:rFonts w:ascii="Book Antiqua" w:hAnsi="Book Antiqua"/>
                <w:bCs/>
                <w:szCs w:val="24"/>
              </w:rPr>
              <w:t xml:space="preserve"> €</w:t>
            </w:r>
          </w:p>
        </w:tc>
      </w:tr>
      <w:tr w:rsidR="00D72ABC" w:rsidRPr="00D72ABC" w:rsidTr="00D7563D">
        <w:trPr>
          <w:trHeight w:val="330"/>
          <w:jc w:val="center"/>
        </w:trPr>
        <w:tc>
          <w:tcPr>
            <w:tcW w:w="2794" w:type="dxa"/>
            <w:tcBorders>
              <w:top w:val="nil"/>
              <w:left w:val="single" w:sz="4" w:space="0" w:color="auto"/>
              <w:bottom w:val="single" w:sz="4" w:space="0" w:color="auto"/>
              <w:right w:val="single" w:sz="4" w:space="0" w:color="auto"/>
            </w:tcBorders>
            <w:shd w:val="clear" w:color="auto" w:fill="auto"/>
            <w:noWrap/>
            <w:vAlign w:val="bottom"/>
            <w:hideMark/>
          </w:tcPr>
          <w:p w:rsidR="00D72ABC" w:rsidRPr="00D72ABC" w:rsidRDefault="00D72ABC" w:rsidP="00D72ABC">
            <w:pPr>
              <w:jc w:val="both"/>
              <w:rPr>
                <w:rFonts w:ascii="Book Antiqua" w:hAnsi="Book Antiqua"/>
                <w:b/>
                <w:bCs/>
                <w:szCs w:val="24"/>
              </w:rPr>
            </w:pPr>
            <w:r w:rsidRPr="00D72ABC">
              <w:rPr>
                <w:rFonts w:ascii="Book Antiqua" w:hAnsi="Book Antiqua"/>
                <w:b/>
                <w:bCs/>
                <w:szCs w:val="24"/>
              </w:rPr>
              <w:t>Taxe foncière (non bâti)</w:t>
            </w:r>
          </w:p>
        </w:tc>
        <w:tc>
          <w:tcPr>
            <w:tcW w:w="2156" w:type="dxa"/>
            <w:tcBorders>
              <w:top w:val="nil"/>
              <w:left w:val="nil"/>
              <w:bottom w:val="single" w:sz="4" w:space="0" w:color="auto"/>
              <w:right w:val="single" w:sz="4" w:space="0" w:color="auto"/>
            </w:tcBorders>
            <w:shd w:val="clear" w:color="auto" w:fill="auto"/>
            <w:noWrap/>
            <w:vAlign w:val="bottom"/>
            <w:hideMark/>
          </w:tcPr>
          <w:p w:rsidR="00D72ABC" w:rsidRPr="00D72ABC" w:rsidRDefault="00D72ABC" w:rsidP="00D72ABC">
            <w:pPr>
              <w:jc w:val="center"/>
              <w:rPr>
                <w:rFonts w:ascii="Book Antiqua" w:hAnsi="Book Antiqua"/>
                <w:bCs/>
                <w:szCs w:val="24"/>
              </w:rPr>
            </w:pPr>
            <w:r w:rsidRPr="00D72ABC">
              <w:rPr>
                <w:rFonts w:ascii="Book Antiqua" w:hAnsi="Book Antiqua"/>
                <w:bCs/>
                <w:szCs w:val="24"/>
              </w:rPr>
              <w:t>75,20%</w:t>
            </w:r>
          </w:p>
        </w:tc>
        <w:tc>
          <w:tcPr>
            <w:tcW w:w="2424" w:type="dxa"/>
            <w:tcBorders>
              <w:top w:val="nil"/>
              <w:left w:val="nil"/>
              <w:bottom w:val="single" w:sz="4" w:space="0" w:color="auto"/>
              <w:right w:val="single" w:sz="4" w:space="0" w:color="auto"/>
            </w:tcBorders>
            <w:shd w:val="clear" w:color="auto" w:fill="auto"/>
            <w:noWrap/>
            <w:vAlign w:val="bottom"/>
            <w:hideMark/>
          </w:tcPr>
          <w:p w:rsidR="00D72ABC" w:rsidRPr="00D72ABC" w:rsidRDefault="00B63DFF" w:rsidP="00D72ABC">
            <w:pPr>
              <w:jc w:val="center"/>
              <w:rPr>
                <w:rFonts w:ascii="Book Antiqua" w:hAnsi="Book Antiqua"/>
                <w:bCs/>
                <w:szCs w:val="24"/>
              </w:rPr>
            </w:pPr>
            <w:r>
              <w:rPr>
                <w:rFonts w:ascii="Book Antiqua" w:hAnsi="Book Antiqua"/>
                <w:bCs/>
                <w:szCs w:val="24"/>
              </w:rPr>
              <w:t>13 235,00</w:t>
            </w:r>
            <w:r w:rsidR="00D72ABC" w:rsidRPr="00D72ABC">
              <w:rPr>
                <w:rFonts w:ascii="Book Antiqua" w:hAnsi="Book Antiqua"/>
                <w:bCs/>
                <w:szCs w:val="24"/>
              </w:rPr>
              <w:t xml:space="preserve"> €</w:t>
            </w:r>
          </w:p>
        </w:tc>
      </w:tr>
    </w:tbl>
    <w:p w:rsidR="00D72ABC" w:rsidRDefault="00D72ABC" w:rsidP="00D72ABC">
      <w:pPr>
        <w:jc w:val="both"/>
        <w:rPr>
          <w:rFonts w:ascii="Book Antiqua" w:hAnsi="Book Antiqua"/>
          <w:bCs/>
          <w:szCs w:val="24"/>
        </w:rPr>
      </w:pPr>
    </w:p>
    <w:p w:rsidR="00771143" w:rsidRDefault="005631BA" w:rsidP="00D72ABC">
      <w:pPr>
        <w:jc w:val="both"/>
        <w:rPr>
          <w:rFonts w:ascii="Book Antiqua" w:hAnsi="Book Antiqua"/>
          <w:bCs/>
          <w:szCs w:val="24"/>
        </w:rPr>
      </w:pPr>
      <w:r>
        <w:rPr>
          <w:rFonts w:ascii="Book Antiqua" w:hAnsi="Book Antiqua"/>
          <w:bCs/>
          <w:szCs w:val="24"/>
        </w:rPr>
        <w:t>Il rappelle que les taux d’imposition n’ont pas augmenté depuis 7 ans.</w:t>
      </w:r>
    </w:p>
    <w:p w:rsidR="005631BA" w:rsidRDefault="005631BA" w:rsidP="00D72ABC">
      <w:pPr>
        <w:jc w:val="both"/>
        <w:rPr>
          <w:rFonts w:ascii="Book Antiqua" w:hAnsi="Book Antiqua"/>
          <w:bCs/>
          <w:szCs w:val="24"/>
        </w:rPr>
      </w:pPr>
    </w:p>
    <w:p w:rsidR="005631BA" w:rsidRPr="005631BA" w:rsidRDefault="005631BA" w:rsidP="00D72ABC">
      <w:pPr>
        <w:jc w:val="both"/>
        <w:rPr>
          <w:rFonts w:ascii="Book Antiqua" w:hAnsi="Book Antiqua"/>
          <w:b/>
          <w:bCs/>
          <w:szCs w:val="24"/>
        </w:rPr>
      </w:pPr>
      <w:r w:rsidRPr="005631BA">
        <w:rPr>
          <w:rFonts w:ascii="Book Antiqua" w:hAnsi="Book Antiqua"/>
          <w:b/>
          <w:bCs/>
          <w:szCs w:val="24"/>
        </w:rPr>
        <w:t>A l’unanimité des présents, les taux sont maintenus.</w:t>
      </w:r>
    </w:p>
    <w:p w:rsidR="005631BA" w:rsidRDefault="005631BA" w:rsidP="00D72ABC">
      <w:pPr>
        <w:jc w:val="both"/>
        <w:rPr>
          <w:rFonts w:ascii="Book Antiqua" w:hAnsi="Book Antiqua"/>
          <w:bCs/>
          <w:szCs w:val="24"/>
        </w:rPr>
      </w:pPr>
    </w:p>
    <w:p w:rsidR="005631BA" w:rsidRPr="005631BA" w:rsidRDefault="005631BA" w:rsidP="00D72ABC">
      <w:pPr>
        <w:jc w:val="both"/>
        <w:rPr>
          <w:rFonts w:ascii="Book Antiqua" w:hAnsi="Book Antiqua"/>
          <w:bCs/>
          <w:i/>
          <w:szCs w:val="24"/>
        </w:rPr>
      </w:pPr>
      <w:r w:rsidRPr="005631BA">
        <w:rPr>
          <w:rFonts w:ascii="Book Antiqua" w:hAnsi="Book Antiqua"/>
          <w:bCs/>
          <w:i/>
          <w:szCs w:val="24"/>
        </w:rPr>
        <w:t xml:space="preserve">Arrivée de Marie-Claude </w:t>
      </w:r>
      <w:proofErr w:type="spellStart"/>
      <w:r w:rsidRPr="005631BA">
        <w:rPr>
          <w:rFonts w:ascii="Book Antiqua" w:hAnsi="Book Antiqua"/>
          <w:bCs/>
          <w:i/>
          <w:szCs w:val="24"/>
        </w:rPr>
        <w:t>Aubrée-Lijour</w:t>
      </w:r>
      <w:proofErr w:type="spellEnd"/>
    </w:p>
    <w:p w:rsidR="005631BA" w:rsidRPr="00D72ABC" w:rsidRDefault="005631BA" w:rsidP="00D72ABC">
      <w:pPr>
        <w:jc w:val="both"/>
        <w:rPr>
          <w:rFonts w:ascii="Book Antiqua" w:hAnsi="Book Antiqua"/>
          <w:bCs/>
          <w:szCs w:val="24"/>
        </w:rPr>
      </w:pPr>
    </w:p>
    <w:p w:rsidR="0008712E" w:rsidRPr="000145E2" w:rsidRDefault="00D72ABC" w:rsidP="0008712E">
      <w:pPr>
        <w:jc w:val="both"/>
        <w:rPr>
          <w:rFonts w:ascii="Book Antiqua" w:hAnsi="Book Antiqua"/>
          <w:b/>
          <w:bCs/>
          <w:szCs w:val="24"/>
          <w:u w:val="single"/>
        </w:rPr>
      </w:pPr>
      <w:r>
        <w:rPr>
          <w:rFonts w:ascii="Book Antiqua" w:hAnsi="Book Antiqua"/>
          <w:b/>
          <w:bCs/>
          <w:szCs w:val="24"/>
          <w:u w:val="single"/>
        </w:rPr>
        <w:t>Vote des budgets primitifs 2016</w:t>
      </w:r>
      <w:r w:rsidR="004817A4">
        <w:rPr>
          <w:rFonts w:ascii="Book Antiqua" w:hAnsi="Book Antiqua"/>
          <w:b/>
          <w:bCs/>
          <w:szCs w:val="24"/>
          <w:u w:val="single"/>
        </w:rPr>
        <w:t>.</w:t>
      </w:r>
    </w:p>
    <w:p w:rsidR="00046668" w:rsidRDefault="00046668" w:rsidP="00046668">
      <w:pPr>
        <w:jc w:val="both"/>
        <w:rPr>
          <w:rFonts w:ascii="Book Antiqua" w:hAnsi="Book Antiqua"/>
          <w:szCs w:val="24"/>
        </w:rPr>
      </w:pPr>
      <w:r>
        <w:rPr>
          <w:rFonts w:ascii="Book Antiqua" w:hAnsi="Book Antiqua"/>
          <w:szCs w:val="24"/>
        </w:rPr>
        <w:t xml:space="preserve">Le détail des sections de fonctionnement et d’investissement des trois budgets (commune, assainissement et lotissement </w:t>
      </w:r>
      <w:r w:rsidR="00565795">
        <w:rPr>
          <w:rFonts w:ascii="Book Antiqua" w:hAnsi="Book Antiqua"/>
          <w:szCs w:val="24"/>
        </w:rPr>
        <w:t xml:space="preserve">de </w:t>
      </w:r>
      <w:r>
        <w:rPr>
          <w:rFonts w:ascii="Book Antiqua" w:hAnsi="Book Antiqua"/>
          <w:szCs w:val="24"/>
        </w:rPr>
        <w:t xml:space="preserve">Kermeur) </w:t>
      </w:r>
      <w:r w:rsidR="00B13542">
        <w:rPr>
          <w:rFonts w:ascii="Book Antiqua" w:hAnsi="Book Antiqua"/>
          <w:szCs w:val="24"/>
        </w:rPr>
        <w:t>sont</w:t>
      </w:r>
      <w:r>
        <w:rPr>
          <w:rFonts w:ascii="Book Antiqua" w:hAnsi="Book Antiqua"/>
          <w:szCs w:val="24"/>
        </w:rPr>
        <w:t xml:space="preserve"> adressé</w:t>
      </w:r>
      <w:r w:rsidR="00B13542">
        <w:rPr>
          <w:rFonts w:ascii="Book Antiqua" w:hAnsi="Book Antiqua"/>
          <w:szCs w:val="24"/>
        </w:rPr>
        <w:t>s</w:t>
      </w:r>
      <w:r>
        <w:rPr>
          <w:rFonts w:ascii="Book Antiqua" w:hAnsi="Book Antiqua"/>
          <w:szCs w:val="24"/>
        </w:rPr>
        <w:t xml:space="preserve"> par mail à l’ensemble du conseil municipal.</w:t>
      </w:r>
    </w:p>
    <w:p w:rsidR="00771143" w:rsidRDefault="00771143" w:rsidP="00046668">
      <w:pPr>
        <w:jc w:val="both"/>
        <w:rPr>
          <w:rFonts w:ascii="Book Antiqua" w:hAnsi="Book Antiqua"/>
          <w:szCs w:val="24"/>
        </w:rPr>
      </w:pPr>
    </w:p>
    <w:p w:rsidR="00046668" w:rsidRDefault="00046668" w:rsidP="00046668">
      <w:pPr>
        <w:jc w:val="both"/>
        <w:rPr>
          <w:rFonts w:ascii="Book Antiqua" w:hAnsi="Book Antiqua"/>
          <w:szCs w:val="24"/>
        </w:rPr>
      </w:pPr>
      <w:r>
        <w:rPr>
          <w:rFonts w:ascii="Book Antiqua" w:hAnsi="Book Antiqua"/>
          <w:szCs w:val="24"/>
        </w:rPr>
        <w:t>Pour le budget de la commune, la section de fonctionnement s’équilibre à</w:t>
      </w:r>
      <w:r w:rsidR="00771143">
        <w:rPr>
          <w:rFonts w:ascii="Book Antiqua" w:hAnsi="Book Antiqua"/>
          <w:szCs w:val="24"/>
        </w:rPr>
        <w:t xml:space="preserve"> 3 372 965 €.</w:t>
      </w:r>
    </w:p>
    <w:p w:rsidR="00771143" w:rsidRDefault="00771143" w:rsidP="00046668">
      <w:pPr>
        <w:jc w:val="both"/>
        <w:rPr>
          <w:rFonts w:ascii="Book Antiqua" w:hAnsi="Book Antiqua"/>
          <w:szCs w:val="24"/>
        </w:rPr>
      </w:pPr>
    </w:p>
    <w:p w:rsidR="00046668" w:rsidRDefault="00046668" w:rsidP="00046668">
      <w:pPr>
        <w:jc w:val="both"/>
        <w:rPr>
          <w:rFonts w:ascii="Book Antiqua" w:hAnsi="Book Antiqua"/>
          <w:szCs w:val="24"/>
        </w:rPr>
      </w:pPr>
      <w:r>
        <w:rPr>
          <w:rFonts w:ascii="Book Antiqua" w:hAnsi="Book Antiqua"/>
          <w:szCs w:val="24"/>
        </w:rPr>
        <w:t>Le montant total des dépenses est en baisse par rapport à 2015. Le tableau ci-après reprend les grands chapitres du budget et leurs évolutions :</w:t>
      </w:r>
    </w:p>
    <w:p w:rsidR="00771143" w:rsidRDefault="00771143" w:rsidP="00046668">
      <w:pPr>
        <w:jc w:val="both"/>
        <w:rPr>
          <w:rFonts w:ascii="Book Antiqua" w:hAnsi="Book Antiqua"/>
          <w:szCs w:val="24"/>
        </w:rPr>
      </w:pPr>
    </w:p>
    <w:tbl>
      <w:tblPr>
        <w:tblW w:w="8700" w:type="dxa"/>
        <w:tblInd w:w="70" w:type="dxa"/>
        <w:tblCellMar>
          <w:left w:w="70" w:type="dxa"/>
          <w:right w:w="70" w:type="dxa"/>
        </w:tblCellMar>
        <w:tblLook w:val="04A0" w:firstRow="1" w:lastRow="0" w:firstColumn="1" w:lastColumn="0" w:noHBand="0" w:noVBand="1"/>
      </w:tblPr>
      <w:tblGrid>
        <w:gridCol w:w="3880"/>
        <w:gridCol w:w="2636"/>
        <w:gridCol w:w="2184"/>
      </w:tblGrid>
      <w:tr w:rsidR="00771143" w:rsidRPr="00771143" w:rsidTr="00771143">
        <w:trPr>
          <w:trHeight w:val="900"/>
        </w:trPr>
        <w:tc>
          <w:tcPr>
            <w:tcW w:w="3880" w:type="dxa"/>
            <w:tcBorders>
              <w:top w:val="nil"/>
              <w:left w:val="nil"/>
              <w:bottom w:val="nil"/>
              <w:right w:val="nil"/>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2016</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Evolution par rapport au BP 2015</w:t>
            </w:r>
          </w:p>
        </w:tc>
      </w:tr>
      <w:tr w:rsidR="00771143" w:rsidRPr="00771143" w:rsidTr="00771143">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Charges à caractère général</w:t>
            </w:r>
          </w:p>
        </w:tc>
        <w:tc>
          <w:tcPr>
            <w:tcW w:w="263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568 225,00 € </w:t>
            </w:r>
          </w:p>
        </w:tc>
        <w:tc>
          <w:tcPr>
            <w:tcW w:w="2184"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-6,27%</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Charges de personnel</w:t>
            </w:r>
          </w:p>
        </w:tc>
        <w:tc>
          <w:tcPr>
            <w:tcW w:w="263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1 182 600,00 € </w:t>
            </w:r>
          </w:p>
        </w:tc>
        <w:tc>
          <w:tcPr>
            <w:tcW w:w="2184"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-3,30%</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Autres charges de gestion courante</w:t>
            </w:r>
          </w:p>
        </w:tc>
        <w:tc>
          <w:tcPr>
            <w:tcW w:w="263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 xml:space="preserve">           </w:t>
            </w: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733 037,00 € </w:t>
            </w:r>
          </w:p>
        </w:tc>
        <w:tc>
          <w:tcPr>
            <w:tcW w:w="2184"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-2,80%</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Intérêts de la dette</w:t>
            </w:r>
          </w:p>
        </w:tc>
        <w:tc>
          <w:tcPr>
            <w:tcW w:w="263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104 000,00 € </w:t>
            </w:r>
          </w:p>
        </w:tc>
        <w:tc>
          <w:tcPr>
            <w:tcW w:w="2184"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-6,31%</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Charges exceptionnelles</w:t>
            </w:r>
          </w:p>
        </w:tc>
        <w:tc>
          <w:tcPr>
            <w:tcW w:w="263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 xml:space="preserve">  </w:t>
            </w: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5 000,00 € </w:t>
            </w:r>
          </w:p>
        </w:tc>
        <w:tc>
          <w:tcPr>
            <w:tcW w:w="2184"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-92,50%</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i/>
                <w:iCs/>
                <w:color w:val="000000"/>
                <w:sz w:val="22"/>
                <w:szCs w:val="22"/>
                <w:lang w:eastAsia="fr-FR"/>
              </w:rPr>
            </w:pPr>
            <w:r w:rsidRPr="00771143">
              <w:rPr>
                <w:rFonts w:ascii="Calibri" w:hAnsi="Calibri"/>
                <w:i/>
                <w:iCs/>
                <w:color w:val="000000"/>
                <w:sz w:val="22"/>
                <w:szCs w:val="22"/>
                <w:lang w:eastAsia="fr-FR"/>
              </w:rPr>
              <w:t>Ecritures d'ordre</w:t>
            </w:r>
          </w:p>
        </w:tc>
        <w:tc>
          <w:tcPr>
            <w:tcW w:w="263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i/>
                <w:iCs/>
                <w:color w:val="000000"/>
                <w:sz w:val="22"/>
                <w:szCs w:val="22"/>
                <w:lang w:eastAsia="fr-FR"/>
              </w:rPr>
            </w:pPr>
            <w:r>
              <w:rPr>
                <w:rFonts w:ascii="Calibri" w:hAnsi="Calibri"/>
                <w:i/>
                <w:iCs/>
                <w:color w:val="000000"/>
                <w:sz w:val="22"/>
                <w:szCs w:val="22"/>
                <w:lang w:eastAsia="fr-FR"/>
              </w:rPr>
              <w:t xml:space="preserve">                            </w:t>
            </w:r>
            <w:r w:rsidRPr="00771143">
              <w:rPr>
                <w:rFonts w:ascii="Calibri" w:hAnsi="Calibri"/>
                <w:i/>
                <w:iCs/>
                <w:color w:val="000000"/>
                <w:sz w:val="22"/>
                <w:szCs w:val="22"/>
                <w:lang w:eastAsia="fr-FR"/>
              </w:rPr>
              <w:t xml:space="preserve">49 760,12 € </w:t>
            </w:r>
          </w:p>
        </w:tc>
        <w:tc>
          <w:tcPr>
            <w:tcW w:w="2184"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i/>
                <w:iCs/>
                <w:color w:val="000000"/>
                <w:sz w:val="22"/>
                <w:szCs w:val="22"/>
                <w:lang w:eastAsia="fr-FR"/>
              </w:rPr>
            </w:pPr>
            <w:r w:rsidRPr="00771143">
              <w:rPr>
                <w:rFonts w:ascii="Calibri" w:hAnsi="Calibri"/>
                <w:i/>
                <w:iCs/>
                <w:color w:val="000000"/>
                <w:sz w:val="22"/>
                <w:szCs w:val="22"/>
                <w:lang w:eastAsia="fr-FR"/>
              </w:rPr>
              <w:t> </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b/>
                <w:bCs/>
                <w:color w:val="000000"/>
                <w:sz w:val="22"/>
                <w:szCs w:val="22"/>
                <w:lang w:eastAsia="fr-FR"/>
              </w:rPr>
            </w:pPr>
            <w:r w:rsidRPr="00771143">
              <w:rPr>
                <w:rFonts w:ascii="Calibri" w:hAnsi="Calibri"/>
                <w:b/>
                <w:bCs/>
                <w:color w:val="000000"/>
                <w:sz w:val="22"/>
                <w:szCs w:val="22"/>
                <w:lang w:eastAsia="fr-FR"/>
              </w:rPr>
              <w:t>Total des dépenses</w:t>
            </w:r>
          </w:p>
        </w:tc>
        <w:tc>
          <w:tcPr>
            <w:tcW w:w="263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b/>
                <w:bCs/>
                <w:color w:val="000000"/>
                <w:sz w:val="22"/>
                <w:szCs w:val="22"/>
                <w:lang w:eastAsia="fr-FR"/>
              </w:rPr>
            </w:pPr>
            <w:r>
              <w:rPr>
                <w:rFonts w:ascii="Calibri" w:hAnsi="Calibri"/>
                <w:b/>
                <w:bCs/>
                <w:color w:val="000000"/>
                <w:sz w:val="22"/>
                <w:szCs w:val="22"/>
                <w:lang w:eastAsia="fr-FR"/>
              </w:rPr>
              <w:t xml:space="preserve">                       </w:t>
            </w:r>
            <w:r w:rsidRPr="00771143">
              <w:rPr>
                <w:rFonts w:ascii="Calibri" w:hAnsi="Calibri"/>
                <w:b/>
                <w:bCs/>
                <w:color w:val="000000"/>
                <w:sz w:val="22"/>
                <w:szCs w:val="22"/>
                <w:lang w:eastAsia="fr-FR"/>
              </w:rPr>
              <w:t xml:space="preserve">2 642 622,12 € </w:t>
            </w:r>
          </w:p>
        </w:tc>
        <w:tc>
          <w:tcPr>
            <w:tcW w:w="2184"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b/>
                <w:bCs/>
                <w:color w:val="000000"/>
                <w:sz w:val="22"/>
                <w:szCs w:val="22"/>
                <w:lang w:eastAsia="fr-FR"/>
              </w:rPr>
            </w:pPr>
            <w:r w:rsidRPr="00771143">
              <w:rPr>
                <w:rFonts w:ascii="Calibri" w:hAnsi="Calibri"/>
                <w:b/>
                <w:bCs/>
                <w:color w:val="000000"/>
                <w:sz w:val="22"/>
                <w:szCs w:val="22"/>
                <w:lang w:eastAsia="fr-FR"/>
              </w:rPr>
              <w:t>-5,90%</w:t>
            </w:r>
          </w:p>
        </w:tc>
      </w:tr>
    </w:tbl>
    <w:p w:rsidR="00771143" w:rsidRDefault="00771143" w:rsidP="00046668">
      <w:pPr>
        <w:rPr>
          <w:rFonts w:ascii="Book Antiqua" w:hAnsi="Book Antiqua"/>
          <w:szCs w:val="24"/>
        </w:rPr>
      </w:pPr>
    </w:p>
    <w:p w:rsidR="00046668" w:rsidRDefault="00046668" w:rsidP="00046668">
      <w:pPr>
        <w:rPr>
          <w:rFonts w:ascii="Book Antiqua" w:hAnsi="Book Antiqua"/>
          <w:szCs w:val="24"/>
        </w:rPr>
      </w:pPr>
      <w:r>
        <w:rPr>
          <w:rFonts w:ascii="Book Antiqua" w:hAnsi="Book Antiqua"/>
          <w:szCs w:val="24"/>
        </w:rPr>
        <w:t xml:space="preserve">Quant aux recettes, elles </w:t>
      </w:r>
      <w:r w:rsidR="00771143">
        <w:rPr>
          <w:rFonts w:ascii="Book Antiqua" w:hAnsi="Book Antiqua"/>
          <w:szCs w:val="24"/>
        </w:rPr>
        <w:t>se stabilisent</w:t>
      </w:r>
      <w:r>
        <w:rPr>
          <w:rFonts w:ascii="Book Antiqua" w:hAnsi="Book Antiqua"/>
          <w:szCs w:val="24"/>
        </w:rPr>
        <w:t xml:space="preserve"> principalement dû au fait de l’augmentation annuelle des bases d’impositions.</w:t>
      </w:r>
    </w:p>
    <w:p w:rsidR="00771143" w:rsidRDefault="00771143" w:rsidP="00046668">
      <w:pPr>
        <w:rPr>
          <w:rFonts w:ascii="Book Antiqua" w:hAnsi="Book Antiqua"/>
          <w:szCs w:val="24"/>
        </w:rPr>
      </w:pPr>
    </w:p>
    <w:tbl>
      <w:tblPr>
        <w:tblW w:w="8700" w:type="dxa"/>
        <w:tblInd w:w="70" w:type="dxa"/>
        <w:tblCellMar>
          <w:left w:w="70" w:type="dxa"/>
          <w:right w:w="70" w:type="dxa"/>
        </w:tblCellMar>
        <w:tblLook w:val="04A0" w:firstRow="1" w:lastRow="0" w:firstColumn="1" w:lastColumn="0" w:noHBand="0" w:noVBand="1"/>
      </w:tblPr>
      <w:tblGrid>
        <w:gridCol w:w="3880"/>
        <w:gridCol w:w="2625"/>
        <w:gridCol w:w="2195"/>
      </w:tblGrid>
      <w:tr w:rsidR="00771143" w:rsidRPr="00771143" w:rsidTr="00771143">
        <w:trPr>
          <w:trHeight w:val="600"/>
        </w:trPr>
        <w:tc>
          <w:tcPr>
            <w:tcW w:w="3880" w:type="dxa"/>
            <w:tcBorders>
              <w:top w:val="nil"/>
              <w:left w:val="nil"/>
              <w:bottom w:val="nil"/>
              <w:right w:val="nil"/>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2016</w:t>
            </w:r>
          </w:p>
        </w:tc>
        <w:tc>
          <w:tcPr>
            <w:tcW w:w="2195" w:type="dxa"/>
            <w:tcBorders>
              <w:top w:val="single" w:sz="4" w:space="0" w:color="auto"/>
              <w:left w:val="nil"/>
              <w:bottom w:val="single" w:sz="4" w:space="0" w:color="auto"/>
              <w:right w:val="single" w:sz="4" w:space="0" w:color="auto"/>
            </w:tcBorders>
            <w:shd w:val="clear" w:color="auto" w:fill="auto"/>
            <w:vAlign w:val="center"/>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Evolution par rapport au BP 2015</w:t>
            </w:r>
          </w:p>
        </w:tc>
      </w:tr>
      <w:tr w:rsidR="00771143" w:rsidRPr="00771143" w:rsidTr="00771143">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Atténuation de charges</w:t>
            </w:r>
          </w:p>
        </w:tc>
        <w:tc>
          <w:tcPr>
            <w:tcW w:w="262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35 000,00 € </w:t>
            </w:r>
          </w:p>
        </w:tc>
        <w:tc>
          <w:tcPr>
            <w:tcW w:w="219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-50,00%</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Produits des services</w:t>
            </w:r>
          </w:p>
        </w:tc>
        <w:tc>
          <w:tcPr>
            <w:tcW w:w="262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261 375,00 € </w:t>
            </w:r>
          </w:p>
        </w:tc>
        <w:tc>
          <w:tcPr>
            <w:tcW w:w="219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58,77%</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Impôts et taxes</w:t>
            </w:r>
          </w:p>
        </w:tc>
        <w:tc>
          <w:tcPr>
            <w:tcW w:w="262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2 078 930,00 € </w:t>
            </w:r>
          </w:p>
        </w:tc>
        <w:tc>
          <w:tcPr>
            <w:tcW w:w="219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2,06%</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Dotations de l'Etat et subventions</w:t>
            </w:r>
          </w:p>
        </w:tc>
        <w:tc>
          <w:tcPr>
            <w:tcW w:w="262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867 830,00 € </w:t>
            </w:r>
          </w:p>
        </w:tc>
        <w:tc>
          <w:tcPr>
            <w:tcW w:w="219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2,12%</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Revenus des immeubles</w:t>
            </w:r>
          </w:p>
        </w:tc>
        <w:tc>
          <w:tcPr>
            <w:tcW w:w="262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 xml:space="preserve">               </w:t>
            </w: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127 800,00 € </w:t>
            </w:r>
          </w:p>
        </w:tc>
        <w:tc>
          <w:tcPr>
            <w:tcW w:w="219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-19,64%</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Produits exceptionnels</w:t>
            </w:r>
          </w:p>
        </w:tc>
        <w:tc>
          <w:tcPr>
            <w:tcW w:w="262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 xml:space="preserve">     </w:t>
            </w: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130,00 € </w:t>
            </w:r>
          </w:p>
        </w:tc>
        <w:tc>
          <w:tcPr>
            <w:tcW w:w="219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right"/>
              <w:rPr>
                <w:rFonts w:ascii="Calibri" w:hAnsi="Calibri"/>
                <w:color w:val="000000"/>
                <w:sz w:val="22"/>
                <w:szCs w:val="22"/>
                <w:lang w:eastAsia="fr-FR"/>
              </w:rPr>
            </w:pPr>
            <w:r w:rsidRPr="00771143">
              <w:rPr>
                <w:rFonts w:ascii="Calibri" w:hAnsi="Calibri"/>
                <w:color w:val="000000"/>
                <w:sz w:val="22"/>
                <w:szCs w:val="22"/>
                <w:lang w:eastAsia="fr-FR"/>
              </w:rPr>
              <w:t>-99,69%</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i/>
                <w:iCs/>
                <w:color w:val="000000"/>
                <w:sz w:val="22"/>
                <w:szCs w:val="22"/>
                <w:lang w:eastAsia="fr-FR"/>
              </w:rPr>
            </w:pPr>
            <w:r w:rsidRPr="00771143">
              <w:rPr>
                <w:rFonts w:ascii="Calibri" w:hAnsi="Calibri"/>
                <w:i/>
                <w:iCs/>
                <w:color w:val="000000"/>
                <w:sz w:val="22"/>
                <w:szCs w:val="22"/>
                <w:lang w:eastAsia="fr-FR"/>
              </w:rPr>
              <w:t>Ecritures d'ordre</w:t>
            </w:r>
          </w:p>
        </w:tc>
        <w:tc>
          <w:tcPr>
            <w:tcW w:w="262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i/>
                <w:iCs/>
                <w:color w:val="000000"/>
                <w:sz w:val="22"/>
                <w:szCs w:val="22"/>
                <w:lang w:eastAsia="fr-FR"/>
              </w:rPr>
            </w:pPr>
            <w:r>
              <w:rPr>
                <w:rFonts w:ascii="Calibri" w:hAnsi="Calibri"/>
                <w:i/>
                <w:iCs/>
                <w:color w:val="000000"/>
                <w:sz w:val="22"/>
                <w:szCs w:val="22"/>
                <w:lang w:eastAsia="fr-FR"/>
              </w:rPr>
              <w:t xml:space="preserve">                             </w:t>
            </w:r>
            <w:r w:rsidRPr="00771143">
              <w:rPr>
                <w:rFonts w:ascii="Calibri" w:hAnsi="Calibri"/>
                <w:i/>
                <w:iCs/>
                <w:color w:val="000000"/>
                <w:sz w:val="22"/>
                <w:szCs w:val="22"/>
                <w:lang w:eastAsia="fr-FR"/>
              </w:rPr>
              <w:t xml:space="preserve"> 1 900,00 € </w:t>
            </w:r>
          </w:p>
        </w:tc>
        <w:tc>
          <w:tcPr>
            <w:tcW w:w="219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i/>
                <w:iCs/>
                <w:color w:val="000000"/>
                <w:sz w:val="22"/>
                <w:szCs w:val="22"/>
                <w:lang w:eastAsia="fr-FR"/>
              </w:rPr>
            </w:pPr>
            <w:r w:rsidRPr="00771143">
              <w:rPr>
                <w:rFonts w:ascii="Calibri" w:hAnsi="Calibri"/>
                <w:i/>
                <w:iCs/>
                <w:color w:val="000000"/>
                <w:sz w:val="22"/>
                <w:szCs w:val="22"/>
                <w:lang w:eastAsia="fr-FR"/>
              </w:rPr>
              <w:t> </w:t>
            </w:r>
          </w:p>
        </w:tc>
      </w:tr>
      <w:tr w:rsidR="00771143" w:rsidRPr="00771143" w:rsidTr="00771143">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565795" w:rsidP="00771143">
            <w:pPr>
              <w:suppressAutoHyphens w:val="0"/>
              <w:rPr>
                <w:rFonts w:ascii="Calibri" w:hAnsi="Calibri"/>
                <w:b/>
                <w:bCs/>
                <w:color w:val="000000"/>
                <w:sz w:val="22"/>
                <w:szCs w:val="22"/>
                <w:lang w:eastAsia="fr-FR"/>
              </w:rPr>
            </w:pPr>
            <w:r>
              <w:rPr>
                <w:rFonts w:ascii="Calibri" w:hAnsi="Calibri"/>
                <w:b/>
                <w:bCs/>
                <w:color w:val="000000"/>
                <w:sz w:val="22"/>
                <w:szCs w:val="22"/>
                <w:lang w:eastAsia="fr-FR"/>
              </w:rPr>
              <w:t>Total des recettes</w:t>
            </w:r>
          </w:p>
        </w:tc>
        <w:tc>
          <w:tcPr>
            <w:tcW w:w="262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b/>
                <w:bCs/>
                <w:color w:val="000000"/>
                <w:sz w:val="22"/>
                <w:szCs w:val="22"/>
                <w:lang w:eastAsia="fr-FR"/>
              </w:rPr>
            </w:pPr>
            <w:r>
              <w:rPr>
                <w:rFonts w:ascii="Calibri" w:hAnsi="Calibri"/>
                <w:b/>
                <w:bCs/>
                <w:color w:val="000000"/>
                <w:sz w:val="22"/>
                <w:szCs w:val="22"/>
                <w:lang w:eastAsia="fr-FR"/>
              </w:rPr>
              <w:t xml:space="preserve">                       </w:t>
            </w:r>
            <w:r w:rsidRPr="00771143">
              <w:rPr>
                <w:rFonts w:ascii="Calibri" w:hAnsi="Calibri"/>
                <w:b/>
                <w:bCs/>
                <w:color w:val="000000"/>
                <w:sz w:val="22"/>
                <w:szCs w:val="22"/>
                <w:lang w:eastAsia="fr-FR"/>
              </w:rPr>
              <w:t xml:space="preserve">3 372 965,00 € </w:t>
            </w:r>
          </w:p>
        </w:tc>
        <w:tc>
          <w:tcPr>
            <w:tcW w:w="2195" w:type="dxa"/>
            <w:tcBorders>
              <w:top w:val="nil"/>
              <w:left w:val="nil"/>
              <w:bottom w:val="single" w:sz="4" w:space="0" w:color="auto"/>
              <w:right w:val="single" w:sz="4" w:space="0" w:color="auto"/>
            </w:tcBorders>
            <w:shd w:val="clear" w:color="auto" w:fill="auto"/>
            <w:noWrap/>
            <w:vAlign w:val="bottom"/>
            <w:hideMark/>
          </w:tcPr>
          <w:p w:rsidR="00771143" w:rsidRPr="00771143" w:rsidRDefault="00565795" w:rsidP="00771143">
            <w:pPr>
              <w:suppressAutoHyphens w:val="0"/>
              <w:jc w:val="right"/>
              <w:rPr>
                <w:rFonts w:ascii="Calibri" w:hAnsi="Calibri"/>
                <w:b/>
                <w:bCs/>
                <w:color w:val="000000"/>
                <w:sz w:val="22"/>
                <w:szCs w:val="22"/>
                <w:lang w:eastAsia="fr-FR"/>
              </w:rPr>
            </w:pPr>
            <w:r>
              <w:rPr>
                <w:rFonts w:ascii="Calibri" w:hAnsi="Calibri"/>
                <w:b/>
                <w:bCs/>
                <w:color w:val="000000"/>
                <w:sz w:val="22"/>
                <w:szCs w:val="22"/>
                <w:lang w:eastAsia="fr-FR"/>
              </w:rPr>
              <w:t xml:space="preserve"> +</w:t>
            </w:r>
            <w:r w:rsidR="00771143" w:rsidRPr="00771143">
              <w:rPr>
                <w:rFonts w:ascii="Calibri" w:hAnsi="Calibri"/>
                <w:b/>
                <w:bCs/>
                <w:color w:val="000000"/>
                <w:sz w:val="22"/>
                <w:szCs w:val="22"/>
                <w:lang w:eastAsia="fr-FR"/>
              </w:rPr>
              <w:t>1,54%</w:t>
            </w:r>
          </w:p>
        </w:tc>
      </w:tr>
    </w:tbl>
    <w:p w:rsidR="00046668" w:rsidRDefault="00046668" w:rsidP="00046668">
      <w:pPr>
        <w:jc w:val="both"/>
        <w:rPr>
          <w:rFonts w:ascii="Book Antiqua" w:hAnsi="Book Antiqua"/>
          <w:szCs w:val="24"/>
        </w:rPr>
      </w:pPr>
    </w:p>
    <w:p w:rsidR="00046668" w:rsidRPr="005631BA" w:rsidRDefault="00046668" w:rsidP="00046668">
      <w:pPr>
        <w:jc w:val="both"/>
        <w:rPr>
          <w:rFonts w:ascii="Book Antiqua" w:hAnsi="Book Antiqua"/>
          <w:szCs w:val="24"/>
        </w:rPr>
      </w:pPr>
      <w:r>
        <w:rPr>
          <w:rFonts w:ascii="Book Antiqua" w:hAnsi="Book Antiqua"/>
          <w:szCs w:val="24"/>
        </w:rPr>
        <w:t xml:space="preserve">Ainsi, le virement de la section de fonctionnement vers la section d’investissement (soit l’autofinancement prévisionnel) est de </w:t>
      </w:r>
      <w:r w:rsidR="004B3D1E" w:rsidRPr="005631BA">
        <w:rPr>
          <w:rFonts w:ascii="Book Antiqua" w:hAnsi="Book Antiqua"/>
          <w:szCs w:val="24"/>
        </w:rPr>
        <w:t>723 662</w:t>
      </w:r>
      <w:r w:rsidR="00771143" w:rsidRPr="005631BA">
        <w:rPr>
          <w:rFonts w:ascii="Book Antiqua" w:hAnsi="Book Antiqua"/>
          <w:szCs w:val="24"/>
        </w:rPr>
        <w:t xml:space="preserve">,88 € soit une hausse de </w:t>
      </w:r>
      <w:r w:rsidR="004B3D1E" w:rsidRPr="005631BA">
        <w:rPr>
          <w:rFonts w:ascii="Book Antiqua" w:hAnsi="Book Antiqua"/>
          <w:szCs w:val="24"/>
        </w:rPr>
        <w:t>40,93</w:t>
      </w:r>
      <w:r w:rsidR="00771143" w:rsidRPr="005631BA">
        <w:rPr>
          <w:rFonts w:ascii="Book Antiqua" w:hAnsi="Book Antiqua"/>
          <w:szCs w:val="24"/>
        </w:rPr>
        <w:t>%</w:t>
      </w:r>
      <w:r w:rsidRPr="005631BA">
        <w:rPr>
          <w:rFonts w:ascii="Book Antiqua" w:hAnsi="Book Antiqua"/>
          <w:szCs w:val="24"/>
        </w:rPr>
        <w:t xml:space="preserve"> par rapport à 2015.</w:t>
      </w:r>
    </w:p>
    <w:p w:rsidR="00046668" w:rsidRDefault="00046668" w:rsidP="00046668">
      <w:pPr>
        <w:jc w:val="both"/>
        <w:rPr>
          <w:rFonts w:ascii="Book Antiqua" w:hAnsi="Book Antiqua"/>
          <w:szCs w:val="24"/>
        </w:rPr>
      </w:pPr>
    </w:p>
    <w:p w:rsidR="00046668" w:rsidRDefault="00046668" w:rsidP="00046668">
      <w:pPr>
        <w:jc w:val="both"/>
        <w:rPr>
          <w:rFonts w:ascii="Book Antiqua" w:hAnsi="Book Antiqua"/>
          <w:szCs w:val="24"/>
        </w:rPr>
      </w:pPr>
      <w:r>
        <w:rPr>
          <w:rFonts w:ascii="Book Antiqua" w:hAnsi="Book Antiqua"/>
          <w:szCs w:val="24"/>
        </w:rPr>
        <w:t>Cet autofinancement prévisionnel ajouté à l’excédent constaté en 2015 permet de proposer au conseil municipal un budget d’investissement conséquent.</w:t>
      </w:r>
    </w:p>
    <w:p w:rsidR="00046668" w:rsidRPr="005631BA" w:rsidRDefault="00046668" w:rsidP="00046668">
      <w:pPr>
        <w:jc w:val="both"/>
        <w:rPr>
          <w:rFonts w:ascii="Book Antiqua" w:hAnsi="Book Antiqua"/>
          <w:szCs w:val="24"/>
        </w:rPr>
      </w:pPr>
      <w:r>
        <w:rPr>
          <w:rFonts w:ascii="Book Antiqua" w:hAnsi="Book Antiqua"/>
          <w:szCs w:val="24"/>
        </w:rPr>
        <w:t>Ainsi, les propositions peuvent se résumer autour de quatre axes prioritaires</w:t>
      </w:r>
      <w:r w:rsidR="00C819A6">
        <w:rPr>
          <w:rFonts w:ascii="Book Antiqua" w:hAnsi="Book Antiqua"/>
          <w:szCs w:val="24"/>
        </w:rPr>
        <w:t xml:space="preserve"> </w:t>
      </w:r>
      <w:r w:rsidR="00C819A6" w:rsidRPr="005631BA">
        <w:rPr>
          <w:rFonts w:ascii="Book Antiqua" w:hAnsi="Book Antiqua"/>
          <w:szCs w:val="24"/>
        </w:rPr>
        <w:t>(légèrement modifiées par la commission finances)</w:t>
      </w:r>
      <w:r w:rsidRPr="005631BA">
        <w:rPr>
          <w:rFonts w:ascii="Book Antiqua" w:hAnsi="Book Antiqua"/>
          <w:szCs w:val="24"/>
        </w:rPr>
        <w:t> :</w:t>
      </w:r>
    </w:p>
    <w:p w:rsidR="00046668" w:rsidRDefault="00046668" w:rsidP="00046668">
      <w:pPr>
        <w:pStyle w:val="Paragraphedeliste"/>
        <w:numPr>
          <w:ilvl w:val="0"/>
          <w:numId w:val="12"/>
        </w:numPr>
        <w:jc w:val="both"/>
        <w:rPr>
          <w:rFonts w:ascii="Book Antiqua" w:hAnsi="Book Antiqua"/>
          <w:szCs w:val="24"/>
        </w:rPr>
      </w:pPr>
      <w:r>
        <w:rPr>
          <w:rFonts w:ascii="Book Antiqua" w:hAnsi="Book Antiqua"/>
          <w:szCs w:val="24"/>
        </w:rPr>
        <w:t>L’embellissement de la ville avec l’augmentation du budget fleurissement (+5000 € par rapport à 2015), l’effacement des réseaux de la rue de la Grève Blanche (89 160 €) et sa maîtrise d’œuvre pour l’aménagement paysager (23 400 €), l’aménagement des entrées de ville (24 700 €) et l’amélioration de la signalétique (6 000 €).</w:t>
      </w:r>
    </w:p>
    <w:p w:rsidR="00046668" w:rsidRPr="005631BA" w:rsidRDefault="00046668" w:rsidP="00046668">
      <w:pPr>
        <w:pStyle w:val="Paragraphedeliste"/>
        <w:numPr>
          <w:ilvl w:val="0"/>
          <w:numId w:val="12"/>
        </w:numPr>
        <w:jc w:val="both"/>
        <w:rPr>
          <w:rFonts w:ascii="Book Antiqua" w:hAnsi="Book Antiqua"/>
          <w:szCs w:val="24"/>
        </w:rPr>
      </w:pPr>
      <w:r w:rsidRPr="005631BA">
        <w:rPr>
          <w:rFonts w:ascii="Book Antiqua" w:hAnsi="Book Antiqua"/>
          <w:szCs w:val="24"/>
        </w:rPr>
        <w:t>L’entretien du patrimoine communal avec des gros travaux prévus sur les bâtiments (</w:t>
      </w:r>
      <w:r w:rsidR="00C819A6" w:rsidRPr="005631BA">
        <w:rPr>
          <w:rFonts w:ascii="Book Antiqua" w:hAnsi="Book Antiqua"/>
          <w:szCs w:val="24"/>
        </w:rPr>
        <w:t xml:space="preserve">185 814,95 € </w:t>
      </w:r>
      <w:r w:rsidRPr="005631BA">
        <w:rPr>
          <w:rFonts w:ascii="Book Antiqua" w:hAnsi="Book Antiqua"/>
          <w:szCs w:val="24"/>
        </w:rPr>
        <w:t>) et un</w:t>
      </w:r>
      <w:r w:rsidR="00771143" w:rsidRPr="005631BA">
        <w:rPr>
          <w:rFonts w:ascii="Book Antiqua" w:hAnsi="Book Antiqua"/>
          <w:szCs w:val="24"/>
        </w:rPr>
        <w:t>e</w:t>
      </w:r>
      <w:r w:rsidRPr="005631BA">
        <w:rPr>
          <w:rFonts w:ascii="Book Antiqua" w:hAnsi="Book Antiqua"/>
          <w:szCs w:val="24"/>
        </w:rPr>
        <w:t xml:space="preserve"> hausse du programme d’amélioration et mise en accessibilité de la voirie (170 050 €).</w:t>
      </w:r>
      <w:r w:rsidR="004B3D1E" w:rsidRPr="005631BA">
        <w:rPr>
          <w:rFonts w:ascii="Book Antiqua" w:hAnsi="Book Antiqua"/>
          <w:szCs w:val="24"/>
        </w:rPr>
        <w:t xml:space="preserve"> Le but étant de rendre un patrimoine bâti rénové à la fin du mandat.</w:t>
      </w:r>
    </w:p>
    <w:p w:rsidR="00046668" w:rsidRPr="005631BA" w:rsidRDefault="00046668" w:rsidP="00046668">
      <w:pPr>
        <w:pStyle w:val="Paragraphedeliste"/>
        <w:numPr>
          <w:ilvl w:val="0"/>
          <w:numId w:val="12"/>
        </w:numPr>
        <w:jc w:val="both"/>
        <w:rPr>
          <w:rFonts w:ascii="Book Antiqua" w:hAnsi="Book Antiqua"/>
          <w:szCs w:val="24"/>
        </w:rPr>
      </w:pPr>
      <w:r w:rsidRPr="005631BA">
        <w:rPr>
          <w:rFonts w:ascii="Book Antiqua" w:hAnsi="Book Antiqua"/>
          <w:szCs w:val="24"/>
        </w:rPr>
        <w:t xml:space="preserve">La redynamisation économique du centre-ville avec </w:t>
      </w:r>
      <w:r w:rsidR="00771143" w:rsidRPr="005631BA">
        <w:rPr>
          <w:rFonts w:ascii="Book Antiqua" w:hAnsi="Book Antiqua"/>
          <w:szCs w:val="24"/>
        </w:rPr>
        <w:t>l</w:t>
      </w:r>
      <w:r w:rsidRPr="005631BA">
        <w:rPr>
          <w:rFonts w:ascii="Book Antiqua" w:hAnsi="Book Antiqua"/>
          <w:szCs w:val="24"/>
        </w:rPr>
        <w:t>’aménagement des deux places faisant l’interface ville-port (</w:t>
      </w:r>
      <w:r w:rsidR="00771143" w:rsidRPr="005631BA">
        <w:rPr>
          <w:rFonts w:ascii="Book Antiqua" w:hAnsi="Book Antiqua"/>
          <w:szCs w:val="24"/>
        </w:rPr>
        <w:t>308</w:t>
      </w:r>
      <w:r w:rsidRPr="005631BA">
        <w:rPr>
          <w:rFonts w:ascii="Book Antiqua" w:hAnsi="Book Antiqua"/>
          <w:szCs w:val="24"/>
        </w:rPr>
        <w:t xml:space="preserve"> 800 €), une opération de rachat de locaux vacants en partenariat avec un opérateur privé (100 000 €) et l’acquisition de la salle </w:t>
      </w:r>
      <w:proofErr w:type="spellStart"/>
      <w:r w:rsidR="00565795" w:rsidRPr="005631BA">
        <w:rPr>
          <w:rFonts w:ascii="Book Antiqua" w:hAnsi="Book Antiqua"/>
          <w:szCs w:val="24"/>
        </w:rPr>
        <w:t>S</w:t>
      </w:r>
      <w:r w:rsidRPr="005631BA">
        <w:rPr>
          <w:rFonts w:ascii="Book Antiqua" w:hAnsi="Book Antiqua"/>
          <w:szCs w:val="24"/>
        </w:rPr>
        <w:t>ocopaf</w:t>
      </w:r>
      <w:proofErr w:type="spellEnd"/>
      <w:r w:rsidRPr="005631BA">
        <w:rPr>
          <w:rFonts w:ascii="Book Antiqua" w:hAnsi="Book Antiqua"/>
          <w:szCs w:val="24"/>
        </w:rPr>
        <w:t xml:space="preserve"> (63 000 €</w:t>
      </w:r>
      <w:r w:rsidR="00C819A6" w:rsidRPr="005631BA">
        <w:rPr>
          <w:rFonts w:ascii="Book Antiqua" w:hAnsi="Book Antiqua"/>
          <w:szCs w:val="24"/>
        </w:rPr>
        <w:t xml:space="preserve"> pour </w:t>
      </w:r>
      <w:r w:rsidR="004B3D1E" w:rsidRPr="005631BA">
        <w:rPr>
          <w:rFonts w:ascii="Book Antiqua" w:hAnsi="Book Antiqua"/>
          <w:szCs w:val="24"/>
        </w:rPr>
        <w:t>acquisition + travaux</w:t>
      </w:r>
      <w:r w:rsidRPr="005631BA">
        <w:rPr>
          <w:rFonts w:ascii="Book Antiqua" w:hAnsi="Book Antiqua"/>
          <w:szCs w:val="24"/>
        </w:rPr>
        <w:t>).</w:t>
      </w:r>
      <w:r w:rsidR="004B3D1E" w:rsidRPr="005631BA">
        <w:rPr>
          <w:rFonts w:ascii="Book Antiqua" w:hAnsi="Book Antiqua"/>
          <w:szCs w:val="24"/>
        </w:rPr>
        <w:t xml:space="preserve"> Sur l’opération de rachat, ce sont des crédits ouverts pour une éventuelle participation sur des opérations immobilières. Ce type d’opération est devenu courante dans des centres villes où le commerce est en perte de vitesse.</w:t>
      </w:r>
    </w:p>
    <w:p w:rsidR="00046668" w:rsidRPr="005631BA" w:rsidRDefault="00046668" w:rsidP="00046668">
      <w:pPr>
        <w:pStyle w:val="Paragraphedeliste"/>
        <w:numPr>
          <w:ilvl w:val="0"/>
          <w:numId w:val="12"/>
        </w:numPr>
        <w:jc w:val="both"/>
        <w:rPr>
          <w:rFonts w:ascii="Book Antiqua" w:hAnsi="Book Antiqua"/>
          <w:szCs w:val="24"/>
        </w:rPr>
      </w:pPr>
      <w:r w:rsidRPr="005631BA">
        <w:rPr>
          <w:rFonts w:ascii="Book Antiqua" w:hAnsi="Book Antiqua"/>
          <w:szCs w:val="24"/>
        </w:rPr>
        <w:t>Le maintien et le développement des services publics avec l’opération menée sur le groupe médical (</w:t>
      </w:r>
      <w:r w:rsidR="00771143" w:rsidRPr="005631BA">
        <w:rPr>
          <w:rFonts w:ascii="Book Antiqua" w:hAnsi="Book Antiqua"/>
          <w:szCs w:val="24"/>
        </w:rPr>
        <w:t>585</w:t>
      </w:r>
      <w:r w:rsidRPr="005631BA">
        <w:rPr>
          <w:rFonts w:ascii="Book Antiqua" w:hAnsi="Book Antiqua"/>
          <w:szCs w:val="24"/>
        </w:rPr>
        <w:t xml:space="preserve"> 900 €) et la participation de la commune aux premières dépenses de la construction de la future caserne des pompiers à </w:t>
      </w:r>
      <w:proofErr w:type="spellStart"/>
      <w:r w:rsidRPr="005631BA">
        <w:rPr>
          <w:rFonts w:ascii="Book Antiqua" w:hAnsi="Book Antiqua"/>
          <w:szCs w:val="24"/>
        </w:rPr>
        <w:t>Plomeur</w:t>
      </w:r>
      <w:proofErr w:type="spellEnd"/>
      <w:r w:rsidRPr="005631BA">
        <w:rPr>
          <w:rFonts w:ascii="Book Antiqua" w:hAnsi="Book Antiqua"/>
          <w:szCs w:val="24"/>
        </w:rPr>
        <w:t xml:space="preserve"> (31 000 €).</w:t>
      </w:r>
      <w:r w:rsidR="004B3D1E" w:rsidRPr="005631BA">
        <w:rPr>
          <w:rFonts w:ascii="Book Antiqua" w:hAnsi="Book Antiqua"/>
          <w:szCs w:val="24"/>
        </w:rPr>
        <w:t xml:space="preserve"> Une explication sur le groupe médical, le montant de l’enveloppe comprend la TVA (ce qui donne un montant HT de 500 000 €). </w:t>
      </w:r>
    </w:p>
    <w:p w:rsidR="004B3D1E" w:rsidRDefault="005631BA" w:rsidP="005631BA">
      <w:pPr>
        <w:jc w:val="both"/>
        <w:rPr>
          <w:rFonts w:ascii="Book Antiqua" w:hAnsi="Book Antiqua"/>
          <w:szCs w:val="24"/>
        </w:rPr>
      </w:pPr>
      <w:r>
        <w:rPr>
          <w:rFonts w:ascii="Book Antiqua" w:hAnsi="Book Antiqua"/>
          <w:szCs w:val="24"/>
        </w:rPr>
        <w:t xml:space="preserve">Sur ce dernier point, Monsieur le Maire ajoute que </w:t>
      </w:r>
      <w:r w:rsidR="004B3D1E" w:rsidRPr="005631BA">
        <w:rPr>
          <w:rFonts w:ascii="Book Antiqua" w:hAnsi="Book Antiqua"/>
          <w:szCs w:val="24"/>
        </w:rPr>
        <w:t>le plan de financement définitif (montant des travaux et subventions accordées) sera présenté au conseil municipal même si ce n’est pas obligatoire afin de garantir la transparence de l’opération.</w:t>
      </w:r>
    </w:p>
    <w:p w:rsidR="005631BA" w:rsidRPr="005631BA" w:rsidRDefault="005631BA" w:rsidP="005631BA">
      <w:pPr>
        <w:jc w:val="both"/>
        <w:rPr>
          <w:rFonts w:ascii="Book Antiqua" w:hAnsi="Book Antiqua"/>
          <w:szCs w:val="24"/>
        </w:rPr>
      </w:pPr>
    </w:p>
    <w:p w:rsidR="00046668" w:rsidRPr="005631BA" w:rsidRDefault="00046668" w:rsidP="00046668">
      <w:pPr>
        <w:suppressAutoHyphens w:val="0"/>
        <w:jc w:val="both"/>
        <w:rPr>
          <w:rFonts w:ascii="Book Antiqua" w:hAnsi="Book Antiqua"/>
          <w:bCs/>
          <w:szCs w:val="22"/>
          <w:lang w:eastAsia="fr-FR"/>
        </w:rPr>
      </w:pPr>
      <w:r w:rsidRPr="005631BA">
        <w:rPr>
          <w:rFonts w:ascii="Book Antiqua" w:hAnsi="Book Antiqua"/>
          <w:bCs/>
          <w:szCs w:val="22"/>
          <w:lang w:eastAsia="fr-FR"/>
        </w:rPr>
        <w:t xml:space="preserve">Le montant total des dépenses d’équipement brut s’élève donc à </w:t>
      </w:r>
      <w:r w:rsidR="00C819A6" w:rsidRPr="005631BA">
        <w:rPr>
          <w:rFonts w:ascii="Book Antiqua" w:hAnsi="Book Antiqua"/>
          <w:bCs/>
          <w:szCs w:val="22"/>
          <w:lang w:eastAsia="fr-FR"/>
        </w:rPr>
        <w:t>1 624 814,72 €  soit un montant par habitant de 538 € (la moyenne de la strate départementale en 2014 était de 218 €)</w:t>
      </w:r>
      <w:r w:rsidRPr="005631BA">
        <w:rPr>
          <w:rFonts w:ascii="Book Antiqua" w:hAnsi="Book Antiqua"/>
          <w:bCs/>
          <w:szCs w:val="22"/>
          <w:lang w:eastAsia="fr-FR"/>
        </w:rPr>
        <w:t xml:space="preserve"> auquel il faut y ajouter le remboursement de la dette (capital) pour un montant de 162 407 €.</w:t>
      </w:r>
      <w:r w:rsidR="004B3D1E" w:rsidRPr="005631BA">
        <w:rPr>
          <w:rFonts w:ascii="Book Antiqua" w:hAnsi="Book Antiqua"/>
          <w:bCs/>
          <w:szCs w:val="22"/>
          <w:lang w:eastAsia="fr-FR"/>
        </w:rPr>
        <w:t xml:space="preserve"> On peut donc conclure que la commune investit pour ses habitants et rappeler qu’en 2016, la santé financière est acquise dans la mesure où la capacité de désendettement est de 3 ans (un an en dessous de la moyenne nationale et régionale).</w:t>
      </w:r>
    </w:p>
    <w:p w:rsidR="004B3D1E" w:rsidRDefault="004B3D1E" w:rsidP="00046668">
      <w:pPr>
        <w:suppressAutoHyphens w:val="0"/>
        <w:jc w:val="both"/>
        <w:rPr>
          <w:rFonts w:ascii="Book Antiqua" w:hAnsi="Book Antiqua"/>
          <w:bCs/>
          <w:szCs w:val="22"/>
          <w:lang w:eastAsia="fr-FR"/>
        </w:rPr>
      </w:pPr>
    </w:p>
    <w:p w:rsidR="00046668" w:rsidRPr="00046668" w:rsidRDefault="00046668" w:rsidP="00046668">
      <w:pPr>
        <w:suppressAutoHyphens w:val="0"/>
        <w:jc w:val="both"/>
        <w:rPr>
          <w:rFonts w:ascii="Book Antiqua" w:hAnsi="Book Antiqua"/>
          <w:bCs/>
          <w:szCs w:val="22"/>
          <w:lang w:eastAsia="fr-FR"/>
        </w:rPr>
      </w:pPr>
      <w:r w:rsidRPr="00046668">
        <w:rPr>
          <w:rFonts w:ascii="Book Antiqua" w:hAnsi="Book Antiqua"/>
          <w:bCs/>
          <w:szCs w:val="22"/>
          <w:lang w:eastAsia="fr-FR"/>
        </w:rPr>
        <w:t>Outre l’autofinancement constituant la principale source de financement (</w:t>
      </w:r>
      <w:r w:rsidR="00771143">
        <w:rPr>
          <w:rFonts w:ascii="Book Antiqua" w:hAnsi="Book Antiqua"/>
          <w:bCs/>
          <w:szCs w:val="22"/>
          <w:lang w:eastAsia="fr-FR"/>
        </w:rPr>
        <w:t>61</w:t>
      </w:r>
      <w:r w:rsidRPr="00046668">
        <w:rPr>
          <w:rFonts w:ascii="Book Antiqua" w:hAnsi="Book Antiqua"/>
          <w:bCs/>
          <w:szCs w:val="22"/>
          <w:lang w:eastAsia="fr-FR"/>
        </w:rPr>
        <w:t>%), la commune dispose des recettes d’investissement suivantes :</w:t>
      </w:r>
    </w:p>
    <w:p w:rsidR="00046668" w:rsidRPr="005631BA" w:rsidRDefault="00046668" w:rsidP="00046668">
      <w:pPr>
        <w:pStyle w:val="Paragraphedeliste"/>
        <w:numPr>
          <w:ilvl w:val="0"/>
          <w:numId w:val="13"/>
        </w:numPr>
        <w:jc w:val="both"/>
        <w:rPr>
          <w:rFonts w:ascii="Book Antiqua" w:hAnsi="Book Antiqua"/>
          <w:bCs/>
          <w:lang w:eastAsia="fr-FR"/>
        </w:rPr>
      </w:pPr>
      <w:r w:rsidRPr="005631BA">
        <w:rPr>
          <w:rFonts w:ascii="Book Antiqua" w:hAnsi="Book Antiqua"/>
          <w:bCs/>
          <w:lang w:eastAsia="fr-FR"/>
        </w:rPr>
        <w:t xml:space="preserve">Subventions </w:t>
      </w:r>
      <w:r w:rsidR="00771143" w:rsidRPr="005631BA">
        <w:rPr>
          <w:rFonts w:ascii="Book Antiqua" w:hAnsi="Book Antiqua"/>
          <w:bCs/>
          <w:lang w:eastAsia="fr-FR"/>
        </w:rPr>
        <w:t>(16%)</w:t>
      </w:r>
      <w:r w:rsidR="004B3D1E" w:rsidRPr="005631BA">
        <w:rPr>
          <w:rFonts w:ascii="Book Antiqua" w:hAnsi="Book Antiqua"/>
          <w:bCs/>
          <w:lang w:eastAsia="fr-FR"/>
        </w:rPr>
        <w:t xml:space="preserve"> </w:t>
      </w:r>
      <w:r w:rsidR="005631BA" w:rsidRPr="005631BA">
        <w:rPr>
          <w:rFonts w:ascii="Book Antiqua" w:hAnsi="Book Antiqua"/>
          <w:bCs/>
          <w:lang w:eastAsia="fr-FR"/>
        </w:rPr>
        <w:t>qui</w:t>
      </w:r>
      <w:r w:rsidR="004B3D1E" w:rsidRPr="005631BA">
        <w:rPr>
          <w:rFonts w:ascii="Book Antiqua" w:hAnsi="Book Antiqua"/>
          <w:bCs/>
          <w:lang w:eastAsia="fr-FR"/>
        </w:rPr>
        <w:t xml:space="preserve"> sont des prévisions minimalistes en attente des accords</w:t>
      </w:r>
    </w:p>
    <w:p w:rsidR="00046668" w:rsidRDefault="00046668" w:rsidP="00046668">
      <w:pPr>
        <w:pStyle w:val="Paragraphedeliste"/>
        <w:numPr>
          <w:ilvl w:val="0"/>
          <w:numId w:val="13"/>
        </w:numPr>
        <w:jc w:val="both"/>
        <w:rPr>
          <w:rFonts w:ascii="Book Antiqua" w:hAnsi="Book Antiqua"/>
          <w:bCs/>
          <w:lang w:eastAsia="fr-FR"/>
        </w:rPr>
      </w:pPr>
      <w:r>
        <w:rPr>
          <w:rFonts w:ascii="Book Antiqua" w:hAnsi="Book Antiqua"/>
          <w:bCs/>
          <w:lang w:eastAsia="fr-FR"/>
        </w:rPr>
        <w:t>Emprunt</w:t>
      </w:r>
      <w:r w:rsidR="00771143">
        <w:rPr>
          <w:rFonts w:ascii="Book Antiqua" w:hAnsi="Book Antiqua"/>
          <w:bCs/>
          <w:lang w:eastAsia="fr-FR"/>
        </w:rPr>
        <w:t xml:space="preserve"> pour la maison médicale (10%)</w:t>
      </w:r>
    </w:p>
    <w:p w:rsidR="00771143" w:rsidRDefault="00771143" w:rsidP="00046668">
      <w:pPr>
        <w:pStyle w:val="Paragraphedeliste"/>
        <w:numPr>
          <w:ilvl w:val="0"/>
          <w:numId w:val="13"/>
        </w:numPr>
        <w:jc w:val="both"/>
        <w:rPr>
          <w:rFonts w:ascii="Book Antiqua" w:hAnsi="Book Antiqua"/>
          <w:bCs/>
          <w:lang w:eastAsia="fr-FR"/>
        </w:rPr>
      </w:pPr>
      <w:r>
        <w:rPr>
          <w:rFonts w:ascii="Book Antiqua" w:hAnsi="Book Antiqua"/>
          <w:bCs/>
          <w:lang w:eastAsia="fr-FR"/>
        </w:rPr>
        <w:lastRenderedPageBreak/>
        <w:t>FCTVA (7%)</w:t>
      </w:r>
    </w:p>
    <w:p w:rsidR="00771143" w:rsidRDefault="00771143" w:rsidP="00046668">
      <w:pPr>
        <w:pStyle w:val="Paragraphedeliste"/>
        <w:numPr>
          <w:ilvl w:val="0"/>
          <w:numId w:val="13"/>
        </w:numPr>
        <w:jc w:val="both"/>
        <w:rPr>
          <w:rFonts w:ascii="Book Antiqua" w:hAnsi="Book Antiqua"/>
          <w:bCs/>
          <w:lang w:eastAsia="fr-FR"/>
        </w:rPr>
      </w:pPr>
      <w:r>
        <w:rPr>
          <w:rFonts w:ascii="Book Antiqua" w:hAnsi="Book Antiqua"/>
          <w:bCs/>
          <w:lang w:eastAsia="fr-FR"/>
        </w:rPr>
        <w:t>Taxe d’aménagement (2%)</w:t>
      </w:r>
    </w:p>
    <w:p w:rsidR="004B3D1E" w:rsidRPr="005631BA" w:rsidRDefault="004B3D1E" w:rsidP="00046668">
      <w:pPr>
        <w:pStyle w:val="Paragraphedeliste"/>
        <w:numPr>
          <w:ilvl w:val="0"/>
          <w:numId w:val="13"/>
        </w:numPr>
        <w:jc w:val="both"/>
        <w:rPr>
          <w:rFonts w:ascii="Book Antiqua" w:hAnsi="Book Antiqua"/>
          <w:bCs/>
          <w:lang w:eastAsia="fr-FR"/>
        </w:rPr>
      </w:pPr>
      <w:r w:rsidRPr="005631BA">
        <w:rPr>
          <w:rFonts w:ascii="Book Antiqua" w:hAnsi="Book Antiqua"/>
          <w:bCs/>
          <w:lang w:eastAsia="fr-FR"/>
        </w:rPr>
        <w:t>Opérations d’ordre (amortissement) (4%)</w:t>
      </w:r>
    </w:p>
    <w:p w:rsidR="00046668" w:rsidRDefault="00046668" w:rsidP="00046668">
      <w:pPr>
        <w:jc w:val="both"/>
        <w:rPr>
          <w:rFonts w:ascii="Book Antiqua" w:hAnsi="Book Antiqua"/>
          <w:bCs/>
          <w:lang w:eastAsia="fr-FR"/>
        </w:rPr>
      </w:pPr>
      <w:r>
        <w:rPr>
          <w:rFonts w:ascii="Book Antiqua" w:hAnsi="Book Antiqua"/>
          <w:bCs/>
          <w:lang w:eastAsia="fr-FR"/>
        </w:rPr>
        <w:t xml:space="preserve">Daniel Le </w:t>
      </w:r>
      <w:proofErr w:type="spellStart"/>
      <w:r>
        <w:rPr>
          <w:rFonts w:ascii="Book Antiqua" w:hAnsi="Book Antiqua"/>
          <w:bCs/>
          <w:lang w:eastAsia="fr-FR"/>
        </w:rPr>
        <w:t>Balch</w:t>
      </w:r>
      <w:proofErr w:type="spellEnd"/>
      <w:r>
        <w:rPr>
          <w:rFonts w:ascii="Book Antiqua" w:hAnsi="Book Antiqua"/>
          <w:bCs/>
          <w:lang w:eastAsia="fr-FR"/>
        </w:rPr>
        <w:t xml:space="preserve"> propose donc au conseil municipal l’approbation du budget primitif 2016 de la commune.</w:t>
      </w:r>
    </w:p>
    <w:p w:rsidR="005631BA" w:rsidRDefault="005631BA" w:rsidP="00046668">
      <w:pPr>
        <w:jc w:val="both"/>
        <w:rPr>
          <w:rFonts w:ascii="Book Antiqua" w:hAnsi="Book Antiqua"/>
          <w:bCs/>
          <w:lang w:eastAsia="fr-FR"/>
        </w:rPr>
      </w:pPr>
    </w:p>
    <w:p w:rsidR="005631BA" w:rsidRPr="005631BA" w:rsidRDefault="005631BA" w:rsidP="00046668">
      <w:pPr>
        <w:jc w:val="both"/>
        <w:rPr>
          <w:rFonts w:ascii="Book Antiqua" w:hAnsi="Book Antiqua"/>
          <w:b/>
          <w:bCs/>
          <w:lang w:eastAsia="fr-FR"/>
        </w:rPr>
      </w:pPr>
      <w:r w:rsidRPr="005631BA">
        <w:rPr>
          <w:rFonts w:ascii="Book Antiqua" w:hAnsi="Book Antiqua"/>
          <w:b/>
          <w:bCs/>
          <w:lang w:eastAsia="fr-FR"/>
        </w:rPr>
        <w:t>Avec 3 voix contre (</w:t>
      </w:r>
      <w:r w:rsidRPr="005631BA">
        <w:rPr>
          <w:rFonts w:ascii="Book Antiqua" w:hAnsi="Book Antiqua"/>
          <w:b/>
          <w:sz w:val="22"/>
          <w:szCs w:val="22"/>
        </w:rPr>
        <w:t xml:space="preserve">Le Bellec Etienne, </w:t>
      </w:r>
      <w:proofErr w:type="spellStart"/>
      <w:r w:rsidRPr="005631BA">
        <w:rPr>
          <w:rFonts w:ascii="Book Antiqua" w:hAnsi="Book Antiqua"/>
          <w:b/>
          <w:sz w:val="22"/>
          <w:szCs w:val="22"/>
        </w:rPr>
        <w:t>Couant</w:t>
      </w:r>
      <w:proofErr w:type="spellEnd"/>
      <w:r w:rsidRPr="005631BA">
        <w:rPr>
          <w:rFonts w:ascii="Book Antiqua" w:hAnsi="Book Antiqua"/>
          <w:b/>
          <w:sz w:val="22"/>
          <w:szCs w:val="22"/>
        </w:rPr>
        <w:t xml:space="preserve"> Guillaume)</w:t>
      </w:r>
      <w:r>
        <w:rPr>
          <w:rFonts w:ascii="Book Antiqua" w:hAnsi="Book Antiqua"/>
          <w:b/>
          <w:sz w:val="22"/>
          <w:szCs w:val="22"/>
        </w:rPr>
        <w:t xml:space="preserve"> et une abstention (</w:t>
      </w:r>
      <w:proofErr w:type="spellStart"/>
      <w:r>
        <w:rPr>
          <w:rFonts w:ascii="Book Antiqua" w:hAnsi="Book Antiqua"/>
          <w:b/>
          <w:sz w:val="22"/>
          <w:szCs w:val="22"/>
        </w:rPr>
        <w:t>Aubrée-Lijour</w:t>
      </w:r>
      <w:proofErr w:type="spellEnd"/>
      <w:r>
        <w:rPr>
          <w:rFonts w:ascii="Book Antiqua" w:hAnsi="Book Antiqua"/>
          <w:b/>
          <w:sz w:val="22"/>
          <w:szCs w:val="22"/>
        </w:rPr>
        <w:t xml:space="preserve"> Marie-Claude), le budget primitif de la commune est approuvée.</w:t>
      </w:r>
    </w:p>
    <w:p w:rsidR="00154F0E" w:rsidRDefault="00154F0E" w:rsidP="00154F0E">
      <w:pPr>
        <w:ind w:right="-3"/>
        <w:jc w:val="both"/>
        <w:rPr>
          <w:rFonts w:ascii="Book Antiqua" w:hAnsi="Book Antiqua"/>
          <w:bCs/>
          <w:szCs w:val="24"/>
        </w:rPr>
      </w:pPr>
    </w:p>
    <w:p w:rsidR="00771143" w:rsidRDefault="00771143" w:rsidP="00154F0E">
      <w:pPr>
        <w:ind w:right="-3"/>
        <w:jc w:val="both"/>
        <w:rPr>
          <w:rFonts w:ascii="Book Antiqua" w:hAnsi="Book Antiqua"/>
          <w:bCs/>
          <w:szCs w:val="24"/>
        </w:rPr>
      </w:pPr>
      <w:r>
        <w:rPr>
          <w:rFonts w:ascii="Book Antiqua" w:hAnsi="Book Antiqua"/>
          <w:bCs/>
          <w:szCs w:val="24"/>
        </w:rPr>
        <w:t>L’examen du budget primitif de l’assainissement est ensuite proposé. La section de fonctionnement s’équilibre à 273 363,37 €. Les dépenses peuvent se présenter de la manière suivante :</w:t>
      </w:r>
    </w:p>
    <w:tbl>
      <w:tblPr>
        <w:tblW w:w="10120" w:type="dxa"/>
        <w:tblInd w:w="-214" w:type="dxa"/>
        <w:tblCellMar>
          <w:left w:w="70" w:type="dxa"/>
          <w:right w:w="70" w:type="dxa"/>
        </w:tblCellMar>
        <w:tblLook w:val="04A0" w:firstRow="1" w:lastRow="0" w:firstColumn="1" w:lastColumn="0" w:noHBand="0" w:noVBand="1"/>
      </w:tblPr>
      <w:tblGrid>
        <w:gridCol w:w="3760"/>
        <w:gridCol w:w="2185"/>
        <w:gridCol w:w="2185"/>
        <w:gridCol w:w="1990"/>
      </w:tblGrid>
      <w:tr w:rsidR="00771143" w:rsidRPr="00771143" w:rsidTr="00771143">
        <w:trPr>
          <w:trHeight w:val="630"/>
        </w:trPr>
        <w:tc>
          <w:tcPr>
            <w:tcW w:w="3760" w:type="dxa"/>
            <w:tcBorders>
              <w:top w:val="nil"/>
              <w:left w:val="nil"/>
              <w:bottom w:val="nil"/>
              <w:right w:val="nil"/>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BP 2015</w:t>
            </w: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BP 2016</w:t>
            </w:r>
          </w:p>
        </w:tc>
        <w:tc>
          <w:tcPr>
            <w:tcW w:w="1990" w:type="dxa"/>
            <w:tcBorders>
              <w:top w:val="single" w:sz="4" w:space="0" w:color="auto"/>
              <w:left w:val="nil"/>
              <w:bottom w:val="single" w:sz="4" w:space="0" w:color="auto"/>
              <w:right w:val="single" w:sz="4" w:space="0" w:color="auto"/>
            </w:tcBorders>
            <w:shd w:val="clear" w:color="auto" w:fill="auto"/>
            <w:vAlign w:val="bottom"/>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Evolution par rapport au BP 2015</w:t>
            </w:r>
          </w:p>
        </w:tc>
      </w:tr>
      <w:tr w:rsidR="00771143" w:rsidRPr="00771143" w:rsidTr="00771143">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Charges à caractère général</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71 500,00 €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158 500,00 € </w:t>
            </w:r>
          </w:p>
        </w:tc>
        <w:tc>
          <w:tcPr>
            <w:tcW w:w="1990"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center"/>
              <w:rPr>
                <w:rFonts w:ascii="Calibri" w:hAnsi="Calibri"/>
                <w:color w:val="000000"/>
                <w:sz w:val="22"/>
                <w:szCs w:val="22"/>
                <w:lang w:eastAsia="fr-FR"/>
              </w:rPr>
            </w:pPr>
            <w:r w:rsidRPr="00771143">
              <w:rPr>
                <w:rFonts w:ascii="Calibri" w:hAnsi="Calibri"/>
                <w:color w:val="000000"/>
                <w:sz w:val="22"/>
                <w:szCs w:val="22"/>
                <w:lang w:eastAsia="fr-FR"/>
              </w:rPr>
              <w:t>121,68%</w:t>
            </w:r>
          </w:p>
        </w:tc>
      </w:tr>
      <w:tr w:rsidR="00771143" w:rsidRPr="00771143" w:rsidTr="0077114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Charges de personnel et frais assimilés</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 xml:space="preserve">  </w:t>
            </w: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38 925,00 €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62 320,00 € </w:t>
            </w:r>
          </w:p>
        </w:tc>
        <w:tc>
          <w:tcPr>
            <w:tcW w:w="1990"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center"/>
              <w:rPr>
                <w:rFonts w:ascii="Calibri" w:hAnsi="Calibri"/>
                <w:color w:val="000000"/>
                <w:sz w:val="22"/>
                <w:szCs w:val="22"/>
                <w:lang w:eastAsia="fr-FR"/>
              </w:rPr>
            </w:pPr>
            <w:r w:rsidRPr="00771143">
              <w:rPr>
                <w:rFonts w:ascii="Calibri" w:hAnsi="Calibri"/>
                <w:color w:val="000000"/>
                <w:sz w:val="22"/>
                <w:szCs w:val="22"/>
                <w:lang w:eastAsia="fr-FR"/>
              </w:rPr>
              <w:t>60,10%</w:t>
            </w:r>
          </w:p>
        </w:tc>
      </w:tr>
      <w:tr w:rsidR="00771143" w:rsidRPr="00771143" w:rsidTr="0077114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Charges financières</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52 780,00 €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47 743,37 € </w:t>
            </w:r>
          </w:p>
        </w:tc>
        <w:tc>
          <w:tcPr>
            <w:tcW w:w="1990"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center"/>
              <w:rPr>
                <w:rFonts w:ascii="Calibri" w:hAnsi="Calibri"/>
                <w:color w:val="000000"/>
                <w:sz w:val="22"/>
                <w:szCs w:val="22"/>
                <w:lang w:eastAsia="fr-FR"/>
              </w:rPr>
            </w:pPr>
            <w:r w:rsidRPr="00771143">
              <w:rPr>
                <w:rFonts w:ascii="Calibri" w:hAnsi="Calibri"/>
                <w:color w:val="000000"/>
                <w:sz w:val="22"/>
                <w:szCs w:val="22"/>
                <w:lang w:eastAsia="fr-FR"/>
              </w:rPr>
              <w:t>-9,54%</w:t>
            </w:r>
          </w:p>
        </w:tc>
      </w:tr>
      <w:tr w:rsidR="00771143" w:rsidRPr="00771143" w:rsidTr="0077114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Charges exceptionnelles</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 14 000,00 €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 xml:space="preserve">      </w:t>
            </w: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 4 800,00 € </w:t>
            </w:r>
          </w:p>
        </w:tc>
        <w:tc>
          <w:tcPr>
            <w:tcW w:w="1990"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center"/>
              <w:rPr>
                <w:rFonts w:ascii="Calibri" w:hAnsi="Calibri"/>
                <w:color w:val="000000"/>
                <w:sz w:val="22"/>
                <w:szCs w:val="22"/>
                <w:lang w:eastAsia="fr-FR"/>
              </w:rPr>
            </w:pPr>
            <w:r w:rsidRPr="00771143">
              <w:rPr>
                <w:rFonts w:ascii="Calibri" w:hAnsi="Calibri"/>
                <w:color w:val="000000"/>
                <w:sz w:val="22"/>
                <w:szCs w:val="22"/>
                <w:lang w:eastAsia="fr-FR"/>
              </w:rPr>
              <w:t>-65,71%</w:t>
            </w:r>
          </w:p>
        </w:tc>
      </w:tr>
      <w:tr w:rsidR="00771143" w:rsidRPr="00771143" w:rsidTr="0077114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Amortissement des immobilisations</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341 481,75 €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363 407,07 € </w:t>
            </w:r>
          </w:p>
        </w:tc>
        <w:tc>
          <w:tcPr>
            <w:tcW w:w="1990"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center"/>
              <w:rPr>
                <w:rFonts w:ascii="Calibri" w:hAnsi="Calibri"/>
                <w:color w:val="000000"/>
                <w:sz w:val="22"/>
                <w:szCs w:val="22"/>
                <w:lang w:eastAsia="fr-FR"/>
              </w:rPr>
            </w:pPr>
            <w:r w:rsidRPr="00771143">
              <w:rPr>
                <w:rFonts w:ascii="Calibri" w:hAnsi="Calibri"/>
                <w:color w:val="000000"/>
                <w:sz w:val="22"/>
                <w:szCs w:val="22"/>
                <w:lang w:eastAsia="fr-FR"/>
              </w:rPr>
              <w:t>6,42%</w:t>
            </w:r>
          </w:p>
        </w:tc>
      </w:tr>
      <w:tr w:rsidR="00771143" w:rsidRPr="00771143" w:rsidTr="0077114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b/>
                <w:bCs/>
                <w:color w:val="000000"/>
                <w:sz w:val="22"/>
                <w:szCs w:val="22"/>
                <w:lang w:eastAsia="fr-FR"/>
              </w:rPr>
            </w:pPr>
            <w:r w:rsidRPr="00771143">
              <w:rPr>
                <w:rFonts w:ascii="Calibri" w:hAnsi="Calibri"/>
                <w:b/>
                <w:bCs/>
                <w:color w:val="000000"/>
                <w:sz w:val="22"/>
                <w:szCs w:val="22"/>
                <w:lang w:eastAsia="fr-FR"/>
              </w:rPr>
              <w:t>TOTAL</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b/>
                <w:bCs/>
                <w:color w:val="000000"/>
                <w:sz w:val="22"/>
                <w:szCs w:val="22"/>
                <w:lang w:eastAsia="fr-FR"/>
              </w:rPr>
            </w:pPr>
            <w:r>
              <w:rPr>
                <w:rFonts w:ascii="Calibri" w:hAnsi="Calibri"/>
                <w:b/>
                <w:bCs/>
                <w:color w:val="000000"/>
                <w:sz w:val="22"/>
                <w:szCs w:val="22"/>
                <w:lang w:eastAsia="fr-FR"/>
              </w:rPr>
              <w:t xml:space="preserve">                 </w:t>
            </w:r>
            <w:r w:rsidRPr="00771143">
              <w:rPr>
                <w:rFonts w:ascii="Calibri" w:hAnsi="Calibri"/>
                <w:b/>
                <w:bCs/>
                <w:color w:val="000000"/>
                <w:sz w:val="22"/>
                <w:szCs w:val="22"/>
                <w:lang w:eastAsia="fr-FR"/>
              </w:rPr>
              <w:t xml:space="preserve">518 686,75 €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b/>
                <w:bCs/>
                <w:color w:val="000000"/>
                <w:sz w:val="22"/>
                <w:szCs w:val="22"/>
                <w:lang w:eastAsia="fr-FR"/>
              </w:rPr>
            </w:pPr>
            <w:r>
              <w:rPr>
                <w:rFonts w:ascii="Calibri" w:hAnsi="Calibri"/>
                <w:b/>
                <w:bCs/>
                <w:color w:val="000000"/>
                <w:sz w:val="22"/>
                <w:szCs w:val="22"/>
                <w:lang w:eastAsia="fr-FR"/>
              </w:rPr>
              <w:t xml:space="preserve">                </w:t>
            </w:r>
            <w:r w:rsidRPr="00771143">
              <w:rPr>
                <w:rFonts w:ascii="Calibri" w:hAnsi="Calibri"/>
                <w:b/>
                <w:bCs/>
                <w:color w:val="000000"/>
                <w:sz w:val="22"/>
                <w:szCs w:val="22"/>
                <w:lang w:eastAsia="fr-FR"/>
              </w:rPr>
              <w:t xml:space="preserve"> 636 770,44 € </w:t>
            </w:r>
          </w:p>
        </w:tc>
        <w:tc>
          <w:tcPr>
            <w:tcW w:w="1990" w:type="dxa"/>
            <w:tcBorders>
              <w:top w:val="nil"/>
              <w:left w:val="nil"/>
              <w:bottom w:val="single" w:sz="4" w:space="0" w:color="auto"/>
              <w:right w:val="single" w:sz="4" w:space="0" w:color="auto"/>
            </w:tcBorders>
            <w:shd w:val="clear" w:color="auto" w:fill="auto"/>
            <w:noWrap/>
            <w:vAlign w:val="bottom"/>
            <w:hideMark/>
          </w:tcPr>
          <w:p w:rsidR="00771143" w:rsidRPr="00771143" w:rsidRDefault="00565795" w:rsidP="00771143">
            <w:pPr>
              <w:suppressAutoHyphens w:val="0"/>
              <w:jc w:val="center"/>
              <w:rPr>
                <w:rFonts w:ascii="Calibri" w:hAnsi="Calibri"/>
                <w:b/>
                <w:bCs/>
                <w:color w:val="000000"/>
                <w:sz w:val="22"/>
                <w:szCs w:val="22"/>
                <w:lang w:eastAsia="fr-FR"/>
              </w:rPr>
            </w:pPr>
            <w:r>
              <w:rPr>
                <w:rFonts w:ascii="Calibri" w:hAnsi="Calibri"/>
                <w:b/>
                <w:bCs/>
                <w:color w:val="000000"/>
                <w:sz w:val="22"/>
                <w:szCs w:val="22"/>
                <w:lang w:eastAsia="fr-FR"/>
              </w:rPr>
              <w:t xml:space="preserve">+ </w:t>
            </w:r>
            <w:r w:rsidR="00771143" w:rsidRPr="00771143">
              <w:rPr>
                <w:rFonts w:ascii="Calibri" w:hAnsi="Calibri"/>
                <w:b/>
                <w:bCs/>
                <w:color w:val="000000"/>
                <w:sz w:val="22"/>
                <w:szCs w:val="22"/>
                <w:lang w:eastAsia="fr-FR"/>
              </w:rPr>
              <w:t>22,77%</w:t>
            </w:r>
          </w:p>
        </w:tc>
      </w:tr>
    </w:tbl>
    <w:p w:rsidR="00771143" w:rsidRDefault="00771143" w:rsidP="00154F0E">
      <w:pPr>
        <w:ind w:right="-3"/>
        <w:jc w:val="both"/>
        <w:rPr>
          <w:rFonts w:ascii="Book Antiqua" w:hAnsi="Book Antiqua"/>
          <w:bCs/>
          <w:szCs w:val="24"/>
        </w:rPr>
      </w:pPr>
    </w:p>
    <w:p w:rsidR="00771143" w:rsidRDefault="00771143" w:rsidP="00154F0E">
      <w:pPr>
        <w:ind w:right="-3"/>
        <w:jc w:val="both"/>
        <w:rPr>
          <w:rFonts w:ascii="Book Antiqua" w:hAnsi="Book Antiqua"/>
          <w:bCs/>
          <w:szCs w:val="24"/>
        </w:rPr>
      </w:pPr>
      <w:r>
        <w:rPr>
          <w:rFonts w:ascii="Book Antiqua" w:hAnsi="Book Antiqua"/>
          <w:bCs/>
          <w:szCs w:val="24"/>
        </w:rPr>
        <w:t>Quant aux recettes, elles peuvent se résumer ainsi :</w:t>
      </w:r>
    </w:p>
    <w:p w:rsidR="00771143" w:rsidRDefault="00771143" w:rsidP="00154F0E">
      <w:pPr>
        <w:ind w:right="-3"/>
        <w:jc w:val="both"/>
        <w:rPr>
          <w:rFonts w:ascii="Book Antiqua" w:hAnsi="Book Antiqua"/>
          <w:bCs/>
          <w:szCs w:val="24"/>
        </w:rPr>
      </w:pPr>
    </w:p>
    <w:p w:rsidR="004B3D1E" w:rsidRDefault="004B3D1E" w:rsidP="00154F0E">
      <w:pPr>
        <w:ind w:right="-3"/>
        <w:jc w:val="both"/>
        <w:rPr>
          <w:rFonts w:ascii="Book Antiqua" w:hAnsi="Book Antiqua"/>
          <w:bCs/>
          <w:szCs w:val="24"/>
        </w:rPr>
      </w:pPr>
    </w:p>
    <w:tbl>
      <w:tblPr>
        <w:tblW w:w="10046" w:type="dxa"/>
        <w:tblInd w:w="-214" w:type="dxa"/>
        <w:tblCellMar>
          <w:left w:w="70" w:type="dxa"/>
          <w:right w:w="70" w:type="dxa"/>
        </w:tblCellMar>
        <w:tblLook w:val="04A0" w:firstRow="1" w:lastRow="0" w:firstColumn="1" w:lastColumn="0" w:noHBand="0" w:noVBand="1"/>
      </w:tblPr>
      <w:tblGrid>
        <w:gridCol w:w="3686"/>
        <w:gridCol w:w="2199"/>
        <w:gridCol w:w="2185"/>
        <w:gridCol w:w="1976"/>
      </w:tblGrid>
      <w:tr w:rsidR="00771143" w:rsidRPr="00771143" w:rsidTr="00771143">
        <w:trPr>
          <w:trHeight w:val="600"/>
        </w:trPr>
        <w:tc>
          <w:tcPr>
            <w:tcW w:w="3686" w:type="dxa"/>
            <w:tcBorders>
              <w:top w:val="nil"/>
              <w:left w:val="nil"/>
              <w:bottom w:val="nil"/>
              <w:right w:val="nil"/>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p>
        </w:tc>
        <w:tc>
          <w:tcPr>
            <w:tcW w:w="2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BP 2015</w:t>
            </w: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BP 2016</w:t>
            </w:r>
          </w:p>
        </w:tc>
        <w:tc>
          <w:tcPr>
            <w:tcW w:w="1976" w:type="dxa"/>
            <w:tcBorders>
              <w:top w:val="single" w:sz="4" w:space="0" w:color="auto"/>
              <w:left w:val="nil"/>
              <w:bottom w:val="single" w:sz="4" w:space="0" w:color="auto"/>
              <w:right w:val="single" w:sz="4" w:space="0" w:color="auto"/>
            </w:tcBorders>
            <w:shd w:val="clear" w:color="auto" w:fill="auto"/>
            <w:vAlign w:val="bottom"/>
            <w:hideMark/>
          </w:tcPr>
          <w:p w:rsidR="00771143" w:rsidRPr="00771143" w:rsidRDefault="00771143" w:rsidP="00771143">
            <w:pPr>
              <w:suppressAutoHyphens w:val="0"/>
              <w:jc w:val="center"/>
              <w:rPr>
                <w:rFonts w:ascii="Calibri" w:hAnsi="Calibri"/>
                <w:b/>
                <w:bCs/>
                <w:color w:val="000000"/>
                <w:sz w:val="22"/>
                <w:szCs w:val="22"/>
                <w:lang w:eastAsia="fr-FR"/>
              </w:rPr>
            </w:pPr>
            <w:r w:rsidRPr="00771143">
              <w:rPr>
                <w:rFonts w:ascii="Calibri" w:hAnsi="Calibri"/>
                <w:b/>
                <w:bCs/>
                <w:color w:val="000000"/>
                <w:sz w:val="22"/>
                <w:szCs w:val="22"/>
                <w:lang w:eastAsia="fr-FR"/>
              </w:rPr>
              <w:t>Evolution par rapport au BP 2015</w:t>
            </w:r>
          </w:p>
        </w:tc>
      </w:tr>
      <w:tr w:rsidR="00771143" w:rsidRPr="00771143" w:rsidTr="0077114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Résultat reporté</w:t>
            </w:r>
          </w:p>
        </w:tc>
        <w:tc>
          <w:tcPr>
            <w:tcW w:w="2199"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 xml:space="preserve">    </w:t>
            </w: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 -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100 532,05 € </w:t>
            </w:r>
          </w:p>
        </w:tc>
        <w:tc>
          <w:tcPr>
            <w:tcW w:w="197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center"/>
              <w:rPr>
                <w:rFonts w:ascii="Calibri" w:hAnsi="Calibri"/>
                <w:color w:val="000000"/>
                <w:sz w:val="22"/>
                <w:szCs w:val="22"/>
                <w:lang w:eastAsia="fr-FR"/>
              </w:rPr>
            </w:pPr>
            <w:r>
              <w:rPr>
                <w:rFonts w:ascii="Calibri" w:hAnsi="Calibri"/>
                <w:color w:val="000000"/>
                <w:sz w:val="22"/>
                <w:szCs w:val="22"/>
                <w:lang w:eastAsia="fr-FR"/>
              </w:rPr>
              <w:t>-</w:t>
            </w:r>
          </w:p>
        </w:tc>
      </w:tr>
      <w:tr w:rsidR="00771143" w:rsidRPr="00771143" w:rsidTr="0077114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 xml:space="preserve"> Produits des services</w:t>
            </w:r>
          </w:p>
        </w:tc>
        <w:tc>
          <w:tcPr>
            <w:tcW w:w="2199"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260 252,71 €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color w:val="000000"/>
                <w:sz w:val="22"/>
                <w:szCs w:val="22"/>
                <w:lang w:eastAsia="fr-FR"/>
              </w:rPr>
            </w:pPr>
            <w:r w:rsidRPr="00771143">
              <w:rPr>
                <w:rFonts w:ascii="Calibri" w:hAnsi="Calibri"/>
                <w:color w:val="000000"/>
                <w:sz w:val="22"/>
                <w:szCs w:val="22"/>
                <w:lang w:eastAsia="fr-FR"/>
              </w:rPr>
              <w:t xml:space="preserve">               </w:t>
            </w:r>
            <w:r>
              <w:rPr>
                <w:rFonts w:ascii="Calibri" w:hAnsi="Calibri"/>
                <w:color w:val="000000"/>
                <w:sz w:val="22"/>
                <w:szCs w:val="22"/>
                <w:lang w:eastAsia="fr-FR"/>
              </w:rPr>
              <w:t xml:space="preserve">  </w:t>
            </w:r>
            <w:r w:rsidRPr="00771143">
              <w:rPr>
                <w:rFonts w:ascii="Calibri" w:hAnsi="Calibri"/>
                <w:color w:val="000000"/>
                <w:sz w:val="22"/>
                <w:szCs w:val="22"/>
                <w:lang w:eastAsia="fr-FR"/>
              </w:rPr>
              <w:t xml:space="preserve">261 500,00 € </w:t>
            </w:r>
          </w:p>
        </w:tc>
        <w:tc>
          <w:tcPr>
            <w:tcW w:w="197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center"/>
              <w:rPr>
                <w:rFonts w:ascii="Calibri" w:hAnsi="Calibri"/>
                <w:color w:val="000000"/>
                <w:sz w:val="22"/>
                <w:szCs w:val="22"/>
                <w:lang w:eastAsia="fr-FR"/>
              </w:rPr>
            </w:pPr>
            <w:r w:rsidRPr="00771143">
              <w:rPr>
                <w:rFonts w:ascii="Calibri" w:hAnsi="Calibri"/>
                <w:color w:val="000000"/>
                <w:sz w:val="22"/>
                <w:szCs w:val="22"/>
                <w:lang w:eastAsia="fr-FR"/>
              </w:rPr>
              <w:t>0,48%</w:t>
            </w:r>
          </w:p>
        </w:tc>
      </w:tr>
      <w:tr w:rsidR="00771143" w:rsidRPr="00771143" w:rsidTr="0077114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i/>
                <w:iCs/>
                <w:color w:val="000000"/>
                <w:sz w:val="22"/>
                <w:szCs w:val="22"/>
                <w:lang w:eastAsia="fr-FR"/>
              </w:rPr>
            </w:pPr>
            <w:r w:rsidRPr="00771143">
              <w:rPr>
                <w:rFonts w:ascii="Calibri" w:hAnsi="Calibri"/>
                <w:i/>
                <w:iCs/>
                <w:color w:val="000000"/>
                <w:sz w:val="22"/>
                <w:szCs w:val="22"/>
                <w:lang w:eastAsia="fr-FR"/>
              </w:rPr>
              <w:t>Amortissement des subventions</w:t>
            </w:r>
          </w:p>
        </w:tc>
        <w:tc>
          <w:tcPr>
            <w:tcW w:w="2199"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i/>
                <w:iCs/>
                <w:color w:val="000000"/>
                <w:sz w:val="22"/>
                <w:szCs w:val="22"/>
                <w:lang w:eastAsia="fr-FR"/>
              </w:rPr>
            </w:pPr>
            <w:r>
              <w:rPr>
                <w:rFonts w:ascii="Calibri" w:hAnsi="Calibri"/>
                <w:i/>
                <w:iCs/>
                <w:color w:val="000000"/>
                <w:sz w:val="22"/>
                <w:szCs w:val="22"/>
                <w:lang w:eastAsia="fr-FR"/>
              </w:rPr>
              <w:t xml:space="preserve">                </w:t>
            </w:r>
            <w:r w:rsidRPr="00771143">
              <w:rPr>
                <w:rFonts w:ascii="Calibri" w:hAnsi="Calibri"/>
                <w:i/>
                <w:iCs/>
                <w:color w:val="000000"/>
                <w:sz w:val="22"/>
                <w:szCs w:val="22"/>
                <w:lang w:eastAsia="fr-FR"/>
              </w:rPr>
              <w:t xml:space="preserve"> 300 823,81 €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i/>
                <w:iCs/>
                <w:color w:val="000000"/>
                <w:sz w:val="22"/>
                <w:szCs w:val="22"/>
                <w:lang w:eastAsia="fr-FR"/>
              </w:rPr>
            </w:pPr>
            <w:r>
              <w:rPr>
                <w:rFonts w:ascii="Calibri" w:hAnsi="Calibri"/>
                <w:i/>
                <w:iCs/>
                <w:color w:val="000000"/>
                <w:sz w:val="22"/>
                <w:szCs w:val="22"/>
                <w:lang w:eastAsia="fr-FR"/>
              </w:rPr>
              <w:t xml:space="preserve">                 </w:t>
            </w:r>
            <w:r w:rsidRPr="00771143">
              <w:rPr>
                <w:rFonts w:ascii="Calibri" w:hAnsi="Calibri"/>
                <w:i/>
                <w:iCs/>
                <w:color w:val="000000"/>
                <w:sz w:val="22"/>
                <w:szCs w:val="22"/>
                <w:lang w:eastAsia="fr-FR"/>
              </w:rPr>
              <w:t xml:space="preserve">300 823,83 € </w:t>
            </w:r>
          </w:p>
        </w:tc>
        <w:tc>
          <w:tcPr>
            <w:tcW w:w="1976"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jc w:val="center"/>
              <w:rPr>
                <w:rFonts w:ascii="Calibri" w:hAnsi="Calibri"/>
                <w:i/>
                <w:iCs/>
                <w:color w:val="000000"/>
                <w:sz w:val="22"/>
                <w:szCs w:val="22"/>
                <w:lang w:eastAsia="fr-FR"/>
              </w:rPr>
            </w:pPr>
            <w:r w:rsidRPr="00771143">
              <w:rPr>
                <w:rFonts w:ascii="Calibri" w:hAnsi="Calibri"/>
                <w:i/>
                <w:iCs/>
                <w:color w:val="000000"/>
                <w:sz w:val="22"/>
                <w:szCs w:val="22"/>
                <w:lang w:eastAsia="fr-FR"/>
              </w:rPr>
              <w:t>0,00%</w:t>
            </w:r>
          </w:p>
        </w:tc>
      </w:tr>
      <w:tr w:rsidR="00771143" w:rsidRPr="00771143" w:rsidTr="0077114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b/>
                <w:bCs/>
                <w:color w:val="000000"/>
                <w:sz w:val="22"/>
                <w:szCs w:val="22"/>
                <w:lang w:eastAsia="fr-FR"/>
              </w:rPr>
            </w:pPr>
            <w:r w:rsidRPr="00771143">
              <w:rPr>
                <w:rFonts w:ascii="Calibri" w:hAnsi="Calibri"/>
                <w:b/>
                <w:bCs/>
                <w:color w:val="000000"/>
                <w:sz w:val="22"/>
                <w:szCs w:val="22"/>
                <w:lang w:eastAsia="fr-FR"/>
              </w:rPr>
              <w:t>TOTAL</w:t>
            </w:r>
          </w:p>
        </w:tc>
        <w:tc>
          <w:tcPr>
            <w:tcW w:w="2199"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b/>
                <w:bCs/>
                <w:color w:val="000000"/>
                <w:sz w:val="22"/>
                <w:szCs w:val="22"/>
                <w:lang w:eastAsia="fr-FR"/>
              </w:rPr>
            </w:pPr>
            <w:r>
              <w:rPr>
                <w:rFonts w:ascii="Calibri" w:hAnsi="Calibri"/>
                <w:b/>
                <w:bCs/>
                <w:color w:val="000000"/>
                <w:sz w:val="22"/>
                <w:szCs w:val="22"/>
                <w:lang w:eastAsia="fr-FR"/>
              </w:rPr>
              <w:t xml:space="preserve">                 </w:t>
            </w:r>
            <w:r w:rsidRPr="00771143">
              <w:rPr>
                <w:rFonts w:ascii="Calibri" w:hAnsi="Calibri"/>
                <w:b/>
                <w:bCs/>
                <w:color w:val="000000"/>
                <w:sz w:val="22"/>
                <w:szCs w:val="22"/>
                <w:lang w:eastAsia="fr-FR"/>
              </w:rPr>
              <w:t xml:space="preserve">561 076,52 € </w:t>
            </w:r>
          </w:p>
        </w:tc>
        <w:tc>
          <w:tcPr>
            <w:tcW w:w="2185" w:type="dxa"/>
            <w:tcBorders>
              <w:top w:val="nil"/>
              <w:left w:val="nil"/>
              <w:bottom w:val="single" w:sz="4" w:space="0" w:color="auto"/>
              <w:right w:val="single" w:sz="4" w:space="0" w:color="auto"/>
            </w:tcBorders>
            <w:shd w:val="clear" w:color="auto" w:fill="auto"/>
            <w:noWrap/>
            <w:vAlign w:val="bottom"/>
            <w:hideMark/>
          </w:tcPr>
          <w:p w:rsidR="00771143" w:rsidRPr="00771143" w:rsidRDefault="00771143" w:rsidP="00771143">
            <w:pPr>
              <w:suppressAutoHyphens w:val="0"/>
              <w:rPr>
                <w:rFonts w:ascii="Calibri" w:hAnsi="Calibri"/>
                <w:b/>
                <w:bCs/>
                <w:color w:val="000000"/>
                <w:sz w:val="22"/>
                <w:szCs w:val="22"/>
                <w:lang w:eastAsia="fr-FR"/>
              </w:rPr>
            </w:pPr>
            <w:r>
              <w:rPr>
                <w:rFonts w:ascii="Calibri" w:hAnsi="Calibri"/>
                <w:b/>
                <w:bCs/>
                <w:color w:val="000000"/>
                <w:sz w:val="22"/>
                <w:szCs w:val="22"/>
                <w:lang w:eastAsia="fr-FR"/>
              </w:rPr>
              <w:t xml:space="preserve">                 </w:t>
            </w:r>
            <w:r w:rsidRPr="00771143">
              <w:rPr>
                <w:rFonts w:ascii="Calibri" w:hAnsi="Calibri"/>
                <w:b/>
                <w:bCs/>
                <w:color w:val="000000"/>
                <w:sz w:val="22"/>
                <w:szCs w:val="22"/>
                <w:lang w:eastAsia="fr-FR"/>
              </w:rPr>
              <w:t xml:space="preserve">662 855,88 € </w:t>
            </w:r>
          </w:p>
        </w:tc>
        <w:tc>
          <w:tcPr>
            <w:tcW w:w="1976" w:type="dxa"/>
            <w:tcBorders>
              <w:top w:val="nil"/>
              <w:left w:val="nil"/>
              <w:bottom w:val="single" w:sz="4" w:space="0" w:color="auto"/>
              <w:right w:val="single" w:sz="4" w:space="0" w:color="auto"/>
            </w:tcBorders>
            <w:shd w:val="clear" w:color="auto" w:fill="auto"/>
            <w:noWrap/>
            <w:vAlign w:val="bottom"/>
            <w:hideMark/>
          </w:tcPr>
          <w:p w:rsidR="00771143" w:rsidRPr="00771143" w:rsidRDefault="00565795" w:rsidP="00771143">
            <w:pPr>
              <w:suppressAutoHyphens w:val="0"/>
              <w:jc w:val="center"/>
              <w:rPr>
                <w:rFonts w:ascii="Calibri" w:hAnsi="Calibri"/>
                <w:b/>
                <w:bCs/>
                <w:color w:val="000000"/>
                <w:sz w:val="22"/>
                <w:szCs w:val="22"/>
                <w:lang w:eastAsia="fr-FR"/>
              </w:rPr>
            </w:pPr>
            <w:r>
              <w:rPr>
                <w:rFonts w:ascii="Calibri" w:hAnsi="Calibri"/>
                <w:b/>
                <w:bCs/>
                <w:color w:val="000000"/>
                <w:sz w:val="22"/>
                <w:szCs w:val="22"/>
                <w:lang w:eastAsia="fr-FR"/>
              </w:rPr>
              <w:t xml:space="preserve">+ </w:t>
            </w:r>
            <w:r w:rsidR="00771143" w:rsidRPr="00771143">
              <w:rPr>
                <w:rFonts w:ascii="Calibri" w:hAnsi="Calibri"/>
                <w:b/>
                <w:bCs/>
                <w:color w:val="000000"/>
                <w:sz w:val="22"/>
                <w:szCs w:val="22"/>
                <w:lang w:eastAsia="fr-FR"/>
              </w:rPr>
              <w:t>18,14%</w:t>
            </w:r>
          </w:p>
        </w:tc>
      </w:tr>
    </w:tbl>
    <w:p w:rsidR="00771143" w:rsidRDefault="00771143" w:rsidP="00154F0E">
      <w:pPr>
        <w:ind w:right="-3"/>
        <w:jc w:val="both"/>
        <w:rPr>
          <w:rFonts w:ascii="Book Antiqua" w:hAnsi="Book Antiqua"/>
          <w:bCs/>
          <w:szCs w:val="24"/>
        </w:rPr>
      </w:pPr>
    </w:p>
    <w:p w:rsidR="0008712E" w:rsidRDefault="00771143" w:rsidP="00154F0E">
      <w:pPr>
        <w:ind w:right="-3"/>
        <w:jc w:val="both"/>
        <w:rPr>
          <w:rFonts w:ascii="Book Antiqua" w:hAnsi="Book Antiqua"/>
          <w:bCs/>
          <w:szCs w:val="24"/>
        </w:rPr>
      </w:pPr>
      <w:r>
        <w:rPr>
          <w:rFonts w:ascii="Book Antiqua" w:hAnsi="Book Antiqua"/>
          <w:bCs/>
          <w:szCs w:val="24"/>
        </w:rPr>
        <w:t>Quant à la section d’investissement, elle s’équilibre à 1 378 932,69 €. Les dépenses d’investissement seront consacrées en 2016 aux opérations suivantes :</w:t>
      </w:r>
    </w:p>
    <w:p w:rsidR="00771143" w:rsidRDefault="00771143" w:rsidP="00771143">
      <w:pPr>
        <w:pStyle w:val="Paragraphedeliste"/>
        <w:numPr>
          <w:ilvl w:val="0"/>
          <w:numId w:val="13"/>
        </w:numPr>
        <w:ind w:right="-3"/>
        <w:jc w:val="both"/>
        <w:rPr>
          <w:rFonts w:ascii="Book Antiqua" w:hAnsi="Book Antiqua"/>
          <w:bCs/>
          <w:szCs w:val="24"/>
        </w:rPr>
      </w:pPr>
      <w:r>
        <w:rPr>
          <w:rFonts w:ascii="Book Antiqua" w:hAnsi="Book Antiqua"/>
          <w:bCs/>
          <w:szCs w:val="24"/>
        </w:rPr>
        <w:t>Poursuite du remplacement des membranes et de la modernisation de la station d’épuration (315 976 €)</w:t>
      </w:r>
    </w:p>
    <w:p w:rsidR="00771143" w:rsidRDefault="00771143" w:rsidP="00771143">
      <w:pPr>
        <w:pStyle w:val="Paragraphedeliste"/>
        <w:numPr>
          <w:ilvl w:val="0"/>
          <w:numId w:val="13"/>
        </w:numPr>
        <w:ind w:right="-3"/>
        <w:jc w:val="both"/>
        <w:rPr>
          <w:rFonts w:ascii="Book Antiqua" w:hAnsi="Book Antiqua"/>
          <w:bCs/>
          <w:szCs w:val="24"/>
        </w:rPr>
      </w:pPr>
      <w:r>
        <w:rPr>
          <w:rFonts w:ascii="Book Antiqua" w:hAnsi="Book Antiqua"/>
          <w:bCs/>
          <w:szCs w:val="24"/>
        </w:rPr>
        <w:t>Lutte contre les inondations à Moulin Mer (135 000 €)</w:t>
      </w:r>
    </w:p>
    <w:p w:rsidR="00771143" w:rsidRDefault="00771143" w:rsidP="00771143">
      <w:pPr>
        <w:pStyle w:val="Paragraphedeliste"/>
        <w:numPr>
          <w:ilvl w:val="0"/>
          <w:numId w:val="13"/>
        </w:numPr>
        <w:ind w:right="-3"/>
        <w:jc w:val="both"/>
        <w:rPr>
          <w:rFonts w:ascii="Book Antiqua" w:hAnsi="Book Antiqua"/>
          <w:bCs/>
          <w:szCs w:val="24"/>
        </w:rPr>
      </w:pPr>
      <w:r>
        <w:rPr>
          <w:rFonts w:ascii="Book Antiqua" w:hAnsi="Book Antiqua"/>
          <w:bCs/>
          <w:szCs w:val="24"/>
        </w:rPr>
        <w:t xml:space="preserve">Réalisation des schémas directeurs d’assainissement </w:t>
      </w:r>
      <w:r w:rsidR="004B3D1E" w:rsidRPr="005631BA">
        <w:rPr>
          <w:rFonts w:ascii="Book Antiqua" w:hAnsi="Book Antiqua"/>
          <w:bCs/>
          <w:szCs w:val="24"/>
        </w:rPr>
        <w:t xml:space="preserve">dans le cadre du PLU </w:t>
      </w:r>
      <w:r>
        <w:rPr>
          <w:rFonts w:ascii="Book Antiqua" w:hAnsi="Book Antiqua"/>
          <w:bCs/>
          <w:szCs w:val="24"/>
        </w:rPr>
        <w:t>(94 000 €)</w:t>
      </w:r>
    </w:p>
    <w:p w:rsidR="00771143" w:rsidRPr="00771143" w:rsidRDefault="00771143" w:rsidP="00771143">
      <w:pPr>
        <w:pStyle w:val="Paragraphedeliste"/>
        <w:numPr>
          <w:ilvl w:val="0"/>
          <w:numId w:val="13"/>
        </w:numPr>
        <w:ind w:right="-3"/>
        <w:jc w:val="both"/>
        <w:rPr>
          <w:rFonts w:ascii="Book Antiqua" w:hAnsi="Book Antiqua"/>
          <w:bCs/>
          <w:szCs w:val="24"/>
        </w:rPr>
      </w:pPr>
      <w:r>
        <w:rPr>
          <w:rFonts w:ascii="Book Antiqua" w:hAnsi="Book Antiqua"/>
          <w:bCs/>
          <w:szCs w:val="24"/>
        </w:rPr>
        <w:t>La réfection des réseaux rue de la Grève Blanche et les travaux de réduction d’eaux parasites (447 215 €)</w:t>
      </w:r>
    </w:p>
    <w:p w:rsidR="00771143" w:rsidRDefault="00771143" w:rsidP="0008712E">
      <w:pPr>
        <w:jc w:val="both"/>
        <w:rPr>
          <w:rFonts w:ascii="Book Antiqua" w:hAnsi="Book Antiqua"/>
          <w:bCs/>
          <w:szCs w:val="24"/>
        </w:rPr>
      </w:pPr>
      <w:r>
        <w:rPr>
          <w:rFonts w:ascii="Book Antiqua" w:hAnsi="Book Antiqua"/>
          <w:bCs/>
          <w:szCs w:val="24"/>
        </w:rPr>
        <w:t xml:space="preserve">L’ensemble de ces opérations seront autofinancées. Daniel Le </w:t>
      </w:r>
      <w:proofErr w:type="spellStart"/>
      <w:r>
        <w:rPr>
          <w:rFonts w:ascii="Book Antiqua" w:hAnsi="Book Antiqua"/>
          <w:bCs/>
          <w:szCs w:val="24"/>
        </w:rPr>
        <w:t>Balch</w:t>
      </w:r>
      <w:proofErr w:type="spellEnd"/>
      <w:r>
        <w:rPr>
          <w:rFonts w:ascii="Book Antiqua" w:hAnsi="Book Antiqua"/>
          <w:bCs/>
          <w:szCs w:val="24"/>
        </w:rPr>
        <w:t xml:space="preserve"> propose donc l’approbation du budget primitif 2016 de l’assainissement.</w:t>
      </w:r>
    </w:p>
    <w:p w:rsidR="005631BA" w:rsidRDefault="005631BA" w:rsidP="0008712E">
      <w:pPr>
        <w:jc w:val="both"/>
        <w:rPr>
          <w:rFonts w:ascii="Book Antiqua" w:hAnsi="Book Antiqua"/>
          <w:bCs/>
          <w:szCs w:val="24"/>
        </w:rPr>
      </w:pPr>
    </w:p>
    <w:p w:rsidR="005631BA" w:rsidRPr="005631BA" w:rsidRDefault="005631BA" w:rsidP="0008712E">
      <w:pPr>
        <w:jc w:val="both"/>
        <w:rPr>
          <w:rFonts w:ascii="Book Antiqua" w:hAnsi="Book Antiqua"/>
          <w:b/>
          <w:bCs/>
          <w:szCs w:val="24"/>
        </w:rPr>
      </w:pPr>
      <w:r w:rsidRPr="005631BA">
        <w:rPr>
          <w:rFonts w:ascii="Book Antiqua" w:hAnsi="Book Antiqua"/>
          <w:b/>
          <w:bCs/>
          <w:szCs w:val="24"/>
        </w:rPr>
        <w:t>A l’unanimité des présents, le budget primitif de l’assainissement est approuvé.</w:t>
      </w:r>
    </w:p>
    <w:p w:rsidR="004817A4" w:rsidRDefault="004817A4" w:rsidP="0008712E">
      <w:pPr>
        <w:jc w:val="both"/>
        <w:rPr>
          <w:rFonts w:ascii="Book Antiqua" w:hAnsi="Book Antiqua"/>
          <w:bCs/>
          <w:szCs w:val="24"/>
        </w:rPr>
      </w:pPr>
    </w:p>
    <w:p w:rsidR="004817A4" w:rsidRDefault="004817A4" w:rsidP="0008712E">
      <w:pPr>
        <w:jc w:val="both"/>
        <w:rPr>
          <w:rFonts w:ascii="Book Antiqua" w:hAnsi="Book Antiqua"/>
          <w:bCs/>
          <w:szCs w:val="24"/>
        </w:rPr>
      </w:pPr>
      <w:r>
        <w:rPr>
          <w:rFonts w:ascii="Book Antiqua" w:hAnsi="Book Antiqua"/>
          <w:bCs/>
          <w:szCs w:val="24"/>
        </w:rPr>
        <w:lastRenderedPageBreak/>
        <w:t xml:space="preserve">Pour terminer ce point à l’ordre du jour, Daniel Le </w:t>
      </w:r>
      <w:proofErr w:type="spellStart"/>
      <w:r>
        <w:rPr>
          <w:rFonts w:ascii="Book Antiqua" w:hAnsi="Book Antiqua"/>
          <w:bCs/>
          <w:szCs w:val="24"/>
        </w:rPr>
        <w:t>Balch</w:t>
      </w:r>
      <w:proofErr w:type="spellEnd"/>
      <w:r>
        <w:rPr>
          <w:rFonts w:ascii="Book Antiqua" w:hAnsi="Book Antiqua"/>
          <w:bCs/>
          <w:szCs w:val="24"/>
        </w:rPr>
        <w:t xml:space="preserve"> propose d’adopter le budget primitif du lotissement de Kermeur dans les équilibres suivants :</w:t>
      </w:r>
    </w:p>
    <w:p w:rsidR="00771143" w:rsidRPr="005631BA" w:rsidRDefault="004817A4" w:rsidP="004817A4">
      <w:pPr>
        <w:pStyle w:val="Paragraphedeliste"/>
        <w:numPr>
          <w:ilvl w:val="0"/>
          <w:numId w:val="13"/>
        </w:numPr>
        <w:jc w:val="both"/>
        <w:rPr>
          <w:rFonts w:ascii="Book Antiqua" w:hAnsi="Book Antiqua"/>
          <w:b/>
          <w:bCs/>
          <w:szCs w:val="24"/>
          <w:u w:val="single"/>
        </w:rPr>
      </w:pPr>
      <w:r w:rsidRPr="005631BA">
        <w:rPr>
          <w:rFonts w:ascii="Book Antiqua" w:hAnsi="Book Antiqua"/>
          <w:bCs/>
          <w:szCs w:val="24"/>
        </w:rPr>
        <w:t xml:space="preserve">section de fonctionnement : </w:t>
      </w:r>
      <w:r w:rsidR="004B3D1E" w:rsidRPr="005631BA">
        <w:rPr>
          <w:rFonts w:ascii="Book Antiqua" w:hAnsi="Book Antiqua"/>
          <w:bCs/>
          <w:szCs w:val="24"/>
        </w:rPr>
        <w:t>1 073 930,62</w:t>
      </w:r>
      <w:r w:rsidRPr="005631BA">
        <w:rPr>
          <w:rFonts w:ascii="Book Antiqua" w:hAnsi="Book Antiqua"/>
          <w:bCs/>
          <w:szCs w:val="24"/>
        </w:rPr>
        <w:t xml:space="preserve"> €</w:t>
      </w:r>
    </w:p>
    <w:p w:rsidR="004817A4" w:rsidRPr="005631BA" w:rsidRDefault="004817A4" w:rsidP="004817A4">
      <w:pPr>
        <w:pStyle w:val="Paragraphedeliste"/>
        <w:numPr>
          <w:ilvl w:val="0"/>
          <w:numId w:val="13"/>
        </w:numPr>
        <w:jc w:val="both"/>
        <w:rPr>
          <w:rFonts w:ascii="Book Antiqua" w:hAnsi="Book Antiqua"/>
          <w:bCs/>
          <w:szCs w:val="24"/>
        </w:rPr>
      </w:pPr>
      <w:r w:rsidRPr="005631BA">
        <w:rPr>
          <w:rFonts w:ascii="Book Antiqua" w:hAnsi="Book Antiqua"/>
          <w:bCs/>
          <w:szCs w:val="24"/>
        </w:rPr>
        <w:t xml:space="preserve">section d’investissement : </w:t>
      </w:r>
      <w:r w:rsidR="004B3D1E" w:rsidRPr="005631BA">
        <w:rPr>
          <w:rFonts w:ascii="Book Antiqua" w:hAnsi="Book Antiqua"/>
          <w:bCs/>
          <w:szCs w:val="24"/>
        </w:rPr>
        <w:t>744482,62</w:t>
      </w:r>
      <w:r w:rsidRPr="005631BA">
        <w:rPr>
          <w:rFonts w:ascii="Book Antiqua" w:hAnsi="Book Antiqua"/>
          <w:bCs/>
          <w:szCs w:val="24"/>
        </w:rPr>
        <w:t xml:space="preserve"> €</w:t>
      </w:r>
    </w:p>
    <w:p w:rsidR="004817A4" w:rsidRPr="005631BA" w:rsidRDefault="005631BA" w:rsidP="004817A4">
      <w:pPr>
        <w:autoSpaceDE w:val="0"/>
        <w:autoSpaceDN w:val="0"/>
        <w:adjustRightInd w:val="0"/>
        <w:jc w:val="both"/>
        <w:rPr>
          <w:rFonts w:ascii="Book Antiqua" w:hAnsi="Book Antiqua"/>
          <w:b/>
          <w:bCs/>
          <w:szCs w:val="24"/>
        </w:rPr>
      </w:pPr>
      <w:r w:rsidRPr="005631BA">
        <w:rPr>
          <w:rFonts w:ascii="Book Antiqua" w:hAnsi="Book Antiqua"/>
          <w:b/>
          <w:bCs/>
          <w:szCs w:val="24"/>
        </w:rPr>
        <w:t>A l’unanimité des présents, le budget primitif du lotissement est approuvé.</w:t>
      </w:r>
    </w:p>
    <w:p w:rsidR="005631BA" w:rsidRDefault="005631BA" w:rsidP="004817A4">
      <w:pPr>
        <w:autoSpaceDE w:val="0"/>
        <w:autoSpaceDN w:val="0"/>
        <w:adjustRightInd w:val="0"/>
        <w:jc w:val="both"/>
        <w:rPr>
          <w:rFonts w:ascii="Book Antiqua" w:hAnsi="Book Antiqua"/>
          <w:b/>
          <w:bCs/>
          <w:szCs w:val="24"/>
          <w:u w:val="single"/>
        </w:rPr>
      </w:pPr>
    </w:p>
    <w:p w:rsidR="005631BA" w:rsidRDefault="005631BA" w:rsidP="004817A4">
      <w:pPr>
        <w:autoSpaceDE w:val="0"/>
        <w:autoSpaceDN w:val="0"/>
        <w:adjustRightInd w:val="0"/>
        <w:jc w:val="both"/>
        <w:rPr>
          <w:rFonts w:ascii="Book Antiqua" w:hAnsi="Book Antiqua"/>
          <w:b/>
          <w:bCs/>
          <w:szCs w:val="24"/>
          <w:u w:val="single"/>
        </w:rPr>
      </w:pPr>
    </w:p>
    <w:p w:rsidR="004817A4" w:rsidRDefault="004817A4" w:rsidP="004817A4">
      <w:pPr>
        <w:autoSpaceDE w:val="0"/>
        <w:autoSpaceDN w:val="0"/>
        <w:adjustRightInd w:val="0"/>
        <w:jc w:val="both"/>
        <w:rPr>
          <w:rFonts w:ascii="Book Antiqua" w:hAnsi="Book Antiqua"/>
          <w:b/>
          <w:bCs/>
          <w:szCs w:val="24"/>
          <w:u w:val="single"/>
        </w:rPr>
      </w:pPr>
      <w:r w:rsidRPr="00A106DF">
        <w:rPr>
          <w:rFonts w:ascii="Book Antiqua" w:hAnsi="Book Antiqua"/>
          <w:b/>
          <w:bCs/>
          <w:szCs w:val="24"/>
          <w:u w:val="single"/>
        </w:rPr>
        <w:t xml:space="preserve">Signature des conventions avec le </w:t>
      </w:r>
      <w:proofErr w:type="spellStart"/>
      <w:r w:rsidRPr="00A106DF">
        <w:rPr>
          <w:rFonts w:ascii="Book Antiqua" w:hAnsi="Book Antiqua"/>
          <w:b/>
          <w:bCs/>
          <w:szCs w:val="24"/>
          <w:u w:val="single"/>
        </w:rPr>
        <w:t>Malamok</w:t>
      </w:r>
      <w:proofErr w:type="spellEnd"/>
      <w:r w:rsidRPr="00A106DF">
        <w:rPr>
          <w:rFonts w:ascii="Book Antiqua" w:hAnsi="Book Antiqua"/>
          <w:b/>
          <w:bCs/>
          <w:szCs w:val="24"/>
          <w:u w:val="single"/>
        </w:rPr>
        <w:t xml:space="preserve"> pour l’ALSH été et petites vacances</w:t>
      </w:r>
      <w:r>
        <w:rPr>
          <w:rFonts w:ascii="Book Antiqua" w:hAnsi="Book Antiqua"/>
          <w:b/>
          <w:bCs/>
          <w:szCs w:val="24"/>
          <w:u w:val="single"/>
        </w:rPr>
        <w:t>.</w:t>
      </w:r>
    </w:p>
    <w:p w:rsidR="004817A4" w:rsidRDefault="004817A4" w:rsidP="004817A4">
      <w:pPr>
        <w:autoSpaceDE w:val="0"/>
        <w:autoSpaceDN w:val="0"/>
        <w:adjustRightInd w:val="0"/>
        <w:jc w:val="both"/>
        <w:rPr>
          <w:rFonts w:ascii="Book Antiqua" w:hAnsi="Book Antiqua"/>
          <w:szCs w:val="24"/>
        </w:rPr>
      </w:pPr>
      <w:r>
        <w:rPr>
          <w:rFonts w:ascii="Book Antiqua" w:hAnsi="Book Antiqua"/>
          <w:szCs w:val="24"/>
        </w:rPr>
        <w:t xml:space="preserve">Stéphanie </w:t>
      </w:r>
      <w:proofErr w:type="spellStart"/>
      <w:r>
        <w:rPr>
          <w:rFonts w:ascii="Book Antiqua" w:hAnsi="Book Antiqua"/>
          <w:szCs w:val="24"/>
        </w:rPr>
        <w:t>Gadonnay</w:t>
      </w:r>
      <w:proofErr w:type="spellEnd"/>
      <w:r>
        <w:rPr>
          <w:rFonts w:ascii="Book Antiqua" w:hAnsi="Book Antiqua"/>
          <w:szCs w:val="24"/>
        </w:rPr>
        <w:t xml:space="preserve"> rappelle au conseil municipal que la gestion de l’animation de l’ALSH (Accueil de Loisirs Sans Hébergement) est confiée chaque année au </w:t>
      </w:r>
      <w:proofErr w:type="spellStart"/>
      <w:r>
        <w:rPr>
          <w:rFonts w:ascii="Book Antiqua" w:hAnsi="Book Antiqua"/>
          <w:szCs w:val="24"/>
        </w:rPr>
        <w:t>Malamok</w:t>
      </w:r>
      <w:proofErr w:type="spellEnd"/>
      <w:r>
        <w:rPr>
          <w:rFonts w:ascii="Book Antiqua" w:hAnsi="Book Antiqua"/>
          <w:szCs w:val="24"/>
        </w:rPr>
        <w:t>.</w:t>
      </w:r>
    </w:p>
    <w:p w:rsidR="004817A4" w:rsidRDefault="00565795" w:rsidP="004817A4">
      <w:pPr>
        <w:autoSpaceDE w:val="0"/>
        <w:autoSpaceDN w:val="0"/>
        <w:adjustRightInd w:val="0"/>
        <w:jc w:val="both"/>
        <w:rPr>
          <w:rFonts w:ascii="Book Antiqua" w:hAnsi="Book Antiqua"/>
          <w:szCs w:val="24"/>
        </w:rPr>
      </w:pPr>
      <w:r>
        <w:rPr>
          <w:rFonts w:ascii="Book Antiqua" w:hAnsi="Book Antiqua"/>
          <w:szCs w:val="24"/>
        </w:rPr>
        <w:t>Une convention définit</w:t>
      </w:r>
      <w:r w:rsidR="004817A4">
        <w:rPr>
          <w:rFonts w:ascii="Book Antiqua" w:hAnsi="Book Antiqua"/>
          <w:szCs w:val="24"/>
        </w:rPr>
        <w:t xml:space="preserve"> les modalités de mise en œuvre de la mission. </w:t>
      </w:r>
    </w:p>
    <w:p w:rsidR="004817A4" w:rsidRDefault="004817A4" w:rsidP="004817A4">
      <w:pPr>
        <w:autoSpaceDE w:val="0"/>
        <w:autoSpaceDN w:val="0"/>
        <w:adjustRightInd w:val="0"/>
        <w:jc w:val="both"/>
        <w:rPr>
          <w:rFonts w:ascii="Book Antiqua" w:hAnsi="Book Antiqua"/>
          <w:szCs w:val="24"/>
        </w:rPr>
      </w:pPr>
      <w:r>
        <w:rPr>
          <w:rFonts w:ascii="Book Antiqua" w:hAnsi="Book Antiqua"/>
          <w:szCs w:val="24"/>
        </w:rPr>
        <w:t xml:space="preserve">Ainsi, elle propose que les conventions avec le </w:t>
      </w:r>
      <w:proofErr w:type="spellStart"/>
      <w:r>
        <w:rPr>
          <w:rFonts w:ascii="Book Antiqua" w:hAnsi="Book Antiqua"/>
          <w:szCs w:val="24"/>
        </w:rPr>
        <w:t>Malamok</w:t>
      </w:r>
      <w:proofErr w:type="spellEnd"/>
      <w:r>
        <w:rPr>
          <w:rFonts w:ascii="Book Antiqua" w:hAnsi="Book Antiqua"/>
          <w:szCs w:val="24"/>
        </w:rPr>
        <w:t xml:space="preserve"> soient appr</w:t>
      </w:r>
      <w:r w:rsidR="00565795">
        <w:rPr>
          <w:rFonts w:ascii="Book Antiqua" w:hAnsi="Book Antiqua"/>
          <w:szCs w:val="24"/>
        </w:rPr>
        <w:t xml:space="preserve">ouvées par le conseil municipal. Les </w:t>
      </w:r>
      <w:r>
        <w:rPr>
          <w:rFonts w:ascii="Book Antiqua" w:hAnsi="Book Antiqua"/>
          <w:szCs w:val="24"/>
        </w:rPr>
        <w:t xml:space="preserve">principaux termes </w:t>
      </w:r>
      <w:r w:rsidR="00565795">
        <w:rPr>
          <w:rFonts w:ascii="Book Antiqua" w:hAnsi="Book Antiqua"/>
          <w:szCs w:val="24"/>
        </w:rPr>
        <w:t xml:space="preserve">de ces conventions </w:t>
      </w:r>
      <w:r>
        <w:rPr>
          <w:rFonts w:ascii="Book Antiqua" w:hAnsi="Book Antiqua"/>
          <w:szCs w:val="24"/>
        </w:rPr>
        <w:t>sont les suivants :</w:t>
      </w:r>
    </w:p>
    <w:p w:rsidR="004817A4" w:rsidRDefault="004817A4" w:rsidP="004817A4">
      <w:pPr>
        <w:pStyle w:val="Paragraphedeliste"/>
        <w:numPr>
          <w:ilvl w:val="0"/>
          <w:numId w:val="14"/>
        </w:numPr>
        <w:autoSpaceDE w:val="0"/>
        <w:autoSpaceDN w:val="0"/>
        <w:adjustRightInd w:val="0"/>
        <w:jc w:val="both"/>
        <w:rPr>
          <w:rFonts w:ascii="Book Antiqua" w:hAnsi="Book Antiqua"/>
          <w:szCs w:val="24"/>
        </w:rPr>
      </w:pPr>
      <w:r>
        <w:rPr>
          <w:rFonts w:ascii="Book Antiqua" w:hAnsi="Book Antiqua"/>
          <w:szCs w:val="24"/>
        </w:rPr>
        <w:t xml:space="preserve">Mise à disposition des locaux du </w:t>
      </w:r>
      <w:proofErr w:type="spellStart"/>
      <w:r>
        <w:rPr>
          <w:rFonts w:ascii="Book Antiqua" w:hAnsi="Book Antiqua"/>
          <w:szCs w:val="24"/>
        </w:rPr>
        <w:t>Ty</w:t>
      </w:r>
      <w:proofErr w:type="spellEnd"/>
      <w:r>
        <w:rPr>
          <w:rFonts w:ascii="Book Antiqua" w:hAnsi="Book Antiqua"/>
          <w:szCs w:val="24"/>
        </w:rPr>
        <w:t xml:space="preserve"> </w:t>
      </w:r>
      <w:proofErr w:type="spellStart"/>
      <w:r>
        <w:rPr>
          <w:rFonts w:ascii="Book Antiqua" w:hAnsi="Book Antiqua"/>
          <w:szCs w:val="24"/>
        </w:rPr>
        <w:t>Malamok</w:t>
      </w:r>
      <w:proofErr w:type="spellEnd"/>
      <w:r>
        <w:rPr>
          <w:rFonts w:ascii="Book Antiqua" w:hAnsi="Book Antiqua"/>
          <w:szCs w:val="24"/>
        </w:rPr>
        <w:t xml:space="preserve"> avec facturation par la commune des consommations énergétiques</w:t>
      </w:r>
    </w:p>
    <w:p w:rsidR="004817A4" w:rsidRDefault="004817A4" w:rsidP="004817A4">
      <w:pPr>
        <w:pStyle w:val="Paragraphedeliste"/>
        <w:numPr>
          <w:ilvl w:val="0"/>
          <w:numId w:val="14"/>
        </w:numPr>
        <w:autoSpaceDE w:val="0"/>
        <w:autoSpaceDN w:val="0"/>
        <w:adjustRightInd w:val="0"/>
        <w:jc w:val="both"/>
        <w:rPr>
          <w:rFonts w:ascii="Book Antiqua" w:hAnsi="Book Antiqua"/>
          <w:szCs w:val="24"/>
        </w:rPr>
      </w:pPr>
      <w:r>
        <w:rPr>
          <w:rFonts w:ascii="Book Antiqua" w:hAnsi="Book Antiqua"/>
          <w:szCs w:val="24"/>
        </w:rPr>
        <w:t>La commune versera une somme fixe de 17 000 € (ALSH été) et 23 000 € (ALSH petites vacances) et une part variable correspondante au solde de la participation de la commune définie à partir d’un budget réalisé en tenant compte de la fréquentation des enfants originaires de la commune</w:t>
      </w:r>
    </w:p>
    <w:p w:rsidR="004817A4" w:rsidRPr="00A106DF" w:rsidRDefault="004817A4" w:rsidP="004817A4">
      <w:pPr>
        <w:pStyle w:val="Paragraphedeliste"/>
        <w:numPr>
          <w:ilvl w:val="0"/>
          <w:numId w:val="14"/>
        </w:numPr>
        <w:autoSpaceDE w:val="0"/>
        <w:autoSpaceDN w:val="0"/>
        <w:adjustRightInd w:val="0"/>
        <w:jc w:val="both"/>
        <w:rPr>
          <w:rFonts w:ascii="Book Antiqua" w:hAnsi="Book Antiqua"/>
          <w:szCs w:val="24"/>
        </w:rPr>
      </w:pPr>
      <w:r>
        <w:rPr>
          <w:rFonts w:ascii="Book Antiqua" w:hAnsi="Book Antiqua"/>
          <w:szCs w:val="24"/>
        </w:rPr>
        <w:t>Durant l’été, l’ALSH sera ouvert du 6 juillet au 5 août et pour les petites vacances, toute la journée du lundi au vendredi (+</w:t>
      </w:r>
      <w:r w:rsidR="00565795">
        <w:rPr>
          <w:rFonts w:ascii="Book Antiqua" w:hAnsi="Book Antiqua"/>
          <w:szCs w:val="24"/>
        </w:rPr>
        <w:t xml:space="preserve"> </w:t>
      </w:r>
      <w:r>
        <w:rPr>
          <w:rFonts w:ascii="Book Antiqua" w:hAnsi="Book Antiqua"/>
          <w:szCs w:val="24"/>
        </w:rPr>
        <w:t>en période scolaire les mercredis après-midis)</w:t>
      </w:r>
    </w:p>
    <w:p w:rsidR="004817A4" w:rsidRPr="005631BA" w:rsidRDefault="005631BA" w:rsidP="0008712E">
      <w:pPr>
        <w:jc w:val="both"/>
        <w:rPr>
          <w:rFonts w:ascii="Book Antiqua" w:hAnsi="Book Antiqua"/>
          <w:b/>
          <w:bCs/>
          <w:szCs w:val="24"/>
        </w:rPr>
      </w:pPr>
      <w:r w:rsidRPr="005631BA">
        <w:rPr>
          <w:rFonts w:ascii="Book Antiqua" w:hAnsi="Book Antiqua"/>
          <w:b/>
          <w:bCs/>
          <w:szCs w:val="24"/>
        </w:rPr>
        <w:t xml:space="preserve">A l’unanimité des présents, </w:t>
      </w:r>
      <w:r>
        <w:rPr>
          <w:rFonts w:ascii="Book Antiqua" w:hAnsi="Book Antiqua"/>
          <w:b/>
          <w:bCs/>
          <w:szCs w:val="24"/>
        </w:rPr>
        <w:t>les conventions sont adoptées</w:t>
      </w:r>
      <w:r w:rsidRPr="005631BA">
        <w:rPr>
          <w:rFonts w:ascii="Book Antiqua" w:hAnsi="Book Antiqua"/>
          <w:b/>
          <w:bCs/>
          <w:szCs w:val="24"/>
        </w:rPr>
        <w:t>.</w:t>
      </w:r>
    </w:p>
    <w:p w:rsidR="005631BA" w:rsidRDefault="005631BA" w:rsidP="0008712E">
      <w:pPr>
        <w:jc w:val="both"/>
        <w:rPr>
          <w:rFonts w:ascii="Book Antiqua" w:hAnsi="Book Antiqua"/>
          <w:b/>
          <w:bCs/>
          <w:szCs w:val="24"/>
          <w:u w:val="single"/>
        </w:rPr>
      </w:pPr>
    </w:p>
    <w:p w:rsidR="005631BA" w:rsidRDefault="005631BA" w:rsidP="0008712E">
      <w:pPr>
        <w:jc w:val="both"/>
        <w:rPr>
          <w:rFonts w:ascii="Book Antiqua" w:hAnsi="Book Antiqua"/>
          <w:b/>
          <w:bCs/>
          <w:szCs w:val="24"/>
          <w:u w:val="single"/>
        </w:rPr>
      </w:pPr>
    </w:p>
    <w:p w:rsidR="0008712E" w:rsidRDefault="004817A4" w:rsidP="0008712E">
      <w:pPr>
        <w:jc w:val="both"/>
        <w:rPr>
          <w:rFonts w:ascii="Book Antiqua" w:hAnsi="Book Antiqua"/>
          <w:b/>
          <w:bCs/>
          <w:szCs w:val="24"/>
          <w:u w:val="single"/>
        </w:rPr>
      </w:pPr>
      <w:r>
        <w:rPr>
          <w:rFonts w:ascii="Book Antiqua" w:hAnsi="Book Antiqua"/>
          <w:b/>
          <w:bCs/>
          <w:szCs w:val="24"/>
          <w:u w:val="single"/>
        </w:rPr>
        <w:t>Avis du conseil municipal sur le plan de prévention des risques littoraux.</w:t>
      </w:r>
    </w:p>
    <w:p w:rsidR="004817A4" w:rsidRPr="004817A4" w:rsidRDefault="004817A4" w:rsidP="004817A4">
      <w:pPr>
        <w:jc w:val="both"/>
        <w:rPr>
          <w:rFonts w:ascii="Book Antiqua" w:hAnsi="Book Antiqua"/>
          <w:bCs/>
          <w:szCs w:val="24"/>
        </w:rPr>
      </w:pPr>
      <w:r w:rsidRPr="004817A4">
        <w:rPr>
          <w:rFonts w:ascii="Book Antiqua" w:hAnsi="Book Antiqua"/>
          <w:bCs/>
          <w:szCs w:val="24"/>
        </w:rPr>
        <w:t xml:space="preserve">Par courrier en date du 8 février 2016 et en application de l’article R-562-7 du code de l’environnement relatif aux plans de prévention des risques naturels, Monsieur le Préfet du Finistère sollicite l’avis du conseil </w:t>
      </w:r>
      <w:r>
        <w:rPr>
          <w:rFonts w:ascii="Book Antiqua" w:hAnsi="Book Antiqua"/>
          <w:bCs/>
          <w:szCs w:val="24"/>
        </w:rPr>
        <w:t>municipal</w:t>
      </w:r>
      <w:r w:rsidRPr="004817A4">
        <w:rPr>
          <w:rFonts w:ascii="Book Antiqua" w:hAnsi="Book Antiqua"/>
          <w:bCs/>
          <w:szCs w:val="24"/>
        </w:rPr>
        <w:t xml:space="preserve"> sur le projet de plan de prévention des risques littoraux sur le territoire des communes de PENMARC’H, LE GUILVINEC, TREFFIAGAT, PLOBANNALEC LESCONIL, LOCTUDY, PONT L’ABBE, COMBRIT et L’ILE TUDY (PPRL « Ouest Odet »).</w:t>
      </w:r>
    </w:p>
    <w:p w:rsidR="004817A4" w:rsidRDefault="004817A4" w:rsidP="004817A4">
      <w:pPr>
        <w:jc w:val="both"/>
        <w:rPr>
          <w:rFonts w:ascii="Book Antiqua" w:hAnsi="Book Antiqua"/>
          <w:bCs/>
          <w:szCs w:val="24"/>
        </w:rPr>
      </w:pPr>
    </w:p>
    <w:p w:rsidR="006A01BD" w:rsidRPr="005631BA" w:rsidRDefault="006A01BD" w:rsidP="006A01BD">
      <w:pPr>
        <w:jc w:val="both"/>
        <w:rPr>
          <w:rFonts w:ascii="Book Antiqua" w:hAnsi="Book Antiqua"/>
          <w:bCs/>
          <w:szCs w:val="24"/>
        </w:rPr>
      </w:pPr>
      <w:r w:rsidRPr="005631BA">
        <w:rPr>
          <w:rFonts w:ascii="Book Antiqua" w:hAnsi="Book Antiqua"/>
          <w:bCs/>
          <w:szCs w:val="24"/>
        </w:rPr>
        <w:t xml:space="preserve">Un plan de prévention des risques est un document réglementaire de la maîtrise de l'urbanisation. </w:t>
      </w:r>
    </w:p>
    <w:p w:rsidR="006A01BD" w:rsidRPr="005631BA" w:rsidRDefault="006A01BD" w:rsidP="006A01BD">
      <w:pPr>
        <w:jc w:val="both"/>
        <w:rPr>
          <w:rFonts w:ascii="Book Antiqua" w:hAnsi="Book Antiqua"/>
          <w:bCs/>
          <w:szCs w:val="24"/>
        </w:rPr>
      </w:pPr>
      <w:r w:rsidRPr="005631BA">
        <w:rPr>
          <w:rFonts w:ascii="Book Antiqua" w:hAnsi="Book Antiqua"/>
          <w:bCs/>
          <w:szCs w:val="24"/>
        </w:rPr>
        <w:t xml:space="preserve">Il comporte des </w:t>
      </w:r>
      <w:r w:rsidRPr="005631BA">
        <w:rPr>
          <w:rFonts w:ascii="Book Antiqua" w:hAnsi="Book Antiqua"/>
          <w:b/>
          <w:bCs/>
          <w:szCs w:val="24"/>
        </w:rPr>
        <w:t xml:space="preserve">interdictions </w:t>
      </w:r>
      <w:r w:rsidRPr="005631BA">
        <w:rPr>
          <w:rFonts w:ascii="Book Antiqua" w:hAnsi="Book Antiqua"/>
          <w:bCs/>
          <w:szCs w:val="24"/>
        </w:rPr>
        <w:t xml:space="preserve">et des </w:t>
      </w:r>
      <w:r w:rsidRPr="005631BA">
        <w:rPr>
          <w:rFonts w:ascii="Book Antiqua" w:hAnsi="Book Antiqua"/>
          <w:b/>
          <w:bCs/>
          <w:szCs w:val="24"/>
        </w:rPr>
        <w:t>prescriptions</w:t>
      </w:r>
      <w:r w:rsidRPr="005631BA">
        <w:rPr>
          <w:rFonts w:ascii="Book Antiqua" w:hAnsi="Book Antiqua"/>
          <w:bCs/>
          <w:szCs w:val="24"/>
        </w:rPr>
        <w:t xml:space="preserve">, ainsi que des </w:t>
      </w:r>
      <w:r w:rsidRPr="005631BA">
        <w:rPr>
          <w:rFonts w:ascii="Book Antiqua" w:hAnsi="Book Antiqua"/>
          <w:b/>
          <w:bCs/>
          <w:szCs w:val="24"/>
        </w:rPr>
        <w:t>mesures de prévention, de protection et de sauvegarde</w:t>
      </w:r>
      <w:r w:rsidRPr="005631BA">
        <w:rPr>
          <w:rFonts w:ascii="Book Antiqua" w:hAnsi="Book Antiqua"/>
          <w:bCs/>
          <w:szCs w:val="24"/>
        </w:rPr>
        <w:t xml:space="preserve">, </w:t>
      </w:r>
      <w:r w:rsidRPr="005631BA">
        <w:rPr>
          <w:rFonts w:ascii="Book Antiqua" w:hAnsi="Book Antiqua"/>
          <w:b/>
          <w:bCs/>
          <w:szCs w:val="24"/>
        </w:rPr>
        <w:t>des mesures de réduction de la vulnérabilité des biens existants</w:t>
      </w:r>
      <w:r w:rsidRPr="005631BA">
        <w:rPr>
          <w:rFonts w:ascii="Book Antiqua" w:hAnsi="Book Antiqua"/>
          <w:bCs/>
          <w:szCs w:val="24"/>
        </w:rPr>
        <w:t>.</w:t>
      </w:r>
    </w:p>
    <w:p w:rsidR="006A01BD" w:rsidRPr="005631BA" w:rsidRDefault="006A01BD" w:rsidP="006A01BD">
      <w:pPr>
        <w:jc w:val="both"/>
        <w:rPr>
          <w:rFonts w:ascii="Book Antiqua" w:hAnsi="Book Antiqua"/>
          <w:bCs/>
          <w:szCs w:val="24"/>
        </w:rPr>
      </w:pPr>
      <w:r w:rsidRPr="005631BA">
        <w:rPr>
          <w:rFonts w:ascii="Book Antiqua" w:hAnsi="Book Antiqua"/>
          <w:bCs/>
          <w:szCs w:val="24"/>
        </w:rPr>
        <w:t xml:space="preserve">Ces règles concernent les </w:t>
      </w:r>
      <w:r w:rsidRPr="005631BA">
        <w:rPr>
          <w:rFonts w:ascii="Book Antiqua" w:hAnsi="Book Antiqua"/>
          <w:b/>
          <w:bCs/>
          <w:szCs w:val="24"/>
        </w:rPr>
        <w:t>projets nouveaux</w:t>
      </w:r>
      <w:r w:rsidRPr="005631BA">
        <w:rPr>
          <w:rFonts w:ascii="Book Antiqua" w:hAnsi="Book Antiqua"/>
          <w:bCs/>
          <w:szCs w:val="24"/>
        </w:rPr>
        <w:t xml:space="preserve">, mais aussi les </w:t>
      </w:r>
      <w:r w:rsidRPr="005631BA">
        <w:rPr>
          <w:rFonts w:ascii="Book Antiqua" w:hAnsi="Book Antiqua"/>
          <w:b/>
          <w:bCs/>
          <w:szCs w:val="24"/>
        </w:rPr>
        <w:t xml:space="preserve">projets sur les biens et activités existants </w:t>
      </w:r>
      <w:r w:rsidRPr="005631BA">
        <w:rPr>
          <w:rFonts w:ascii="Book Antiqua" w:hAnsi="Book Antiqua"/>
          <w:bCs/>
          <w:szCs w:val="24"/>
        </w:rPr>
        <w:t xml:space="preserve">et, plus généralement, </w:t>
      </w:r>
      <w:r w:rsidRPr="005631BA">
        <w:rPr>
          <w:rFonts w:ascii="Book Antiqua" w:hAnsi="Book Antiqua"/>
          <w:b/>
          <w:bCs/>
          <w:szCs w:val="24"/>
        </w:rPr>
        <w:t>l'usage des sols</w:t>
      </w:r>
      <w:r w:rsidRPr="005631BA">
        <w:rPr>
          <w:rFonts w:ascii="Book Antiqua" w:hAnsi="Book Antiqua"/>
          <w:bCs/>
          <w:szCs w:val="24"/>
        </w:rPr>
        <w:t>. Il a donc une valeur supérieur au PLU.</w:t>
      </w:r>
      <w:r w:rsidR="005631BA">
        <w:rPr>
          <w:rFonts w:ascii="Book Antiqua" w:hAnsi="Book Antiqua"/>
          <w:bCs/>
          <w:szCs w:val="24"/>
        </w:rPr>
        <w:t xml:space="preserve"> Sur la commune du Guilvinec, 337 maisons sont concernées dont 4 en aléa très fort.</w:t>
      </w:r>
    </w:p>
    <w:p w:rsidR="006A01BD" w:rsidRPr="004817A4" w:rsidRDefault="006A01BD" w:rsidP="006A01BD">
      <w:pPr>
        <w:jc w:val="both"/>
        <w:rPr>
          <w:rFonts w:ascii="Book Antiqua" w:hAnsi="Book Antiqua"/>
          <w:bCs/>
          <w:szCs w:val="24"/>
        </w:rPr>
      </w:pPr>
    </w:p>
    <w:p w:rsidR="004817A4" w:rsidRDefault="006A01BD" w:rsidP="004817A4">
      <w:pPr>
        <w:jc w:val="both"/>
        <w:rPr>
          <w:rFonts w:ascii="Book Antiqua" w:hAnsi="Book Antiqua"/>
          <w:bCs/>
          <w:szCs w:val="24"/>
        </w:rPr>
      </w:pPr>
      <w:r>
        <w:rPr>
          <w:rFonts w:ascii="Book Antiqua" w:hAnsi="Book Antiqua"/>
          <w:bCs/>
          <w:szCs w:val="24"/>
        </w:rPr>
        <w:lastRenderedPageBreak/>
        <w:t xml:space="preserve">Après avoir étudié les </w:t>
      </w:r>
      <w:r w:rsidR="004817A4" w:rsidRPr="004817A4">
        <w:rPr>
          <w:rFonts w:ascii="Book Antiqua" w:hAnsi="Book Antiqua"/>
          <w:bCs/>
          <w:szCs w:val="24"/>
        </w:rPr>
        <w:t>aléa</w:t>
      </w:r>
      <w:r w:rsidR="00565795">
        <w:rPr>
          <w:rFonts w:ascii="Book Antiqua" w:hAnsi="Book Antiqua"/>
          <w:bCs/>
          <w:szCs w:val="24"/>
        </w:rPr>
        <w:t>s</w:t>
      </w:r>
      <w:r w:rsidR="004817A4" w:rsidRPr="004817A4">
        <w:rPr>
          <w:rFonts w:ascii="Book Antiqua" w:hAnsi="Book Antiqua"/>
          <w:bCs/>
          <w:szCs w:val="24"/>
        </w:rPr>
        <w:t xml:space="preserve"> notamment la délimitation des zones exposées aux risques de submersion à partir des retours d’expérience et au</w:t>
      </w:r>
      <w:r>
        <w:rPr>
          <w:rFonts w:ascii="Book Antiqua" w:hAnsi="Book Antiqua"/>
          <w:bCs/>
          <w:szCs w:val="24"/>
        </w:rPr>
        <w:t xml:space="preserve"> moyen de modélisation, un </w:t>
      </w:r>
      <w:r w:rsidR="004817A4" w:rsidRPr="004817A4">
        <w:rPr>
          <w:rFonts w:ascii="Book Antiqua" w:hAnsi="Book Antiqua"/>
          <w:bCs/>
          <w:szCs w:val="24"/>
        </w:rPr>
        <w:t xml:space="preserve">règlement, associé à un zonage, </w:t>
      </w:r>
      <w:r>
        <w:rPr>
          <w:rFonts w:ascii="Book Antiqua" w:hAnsi="Book Antiqua"/>
          <w:bCs/>
          <w:szCs w:val="24"/>
        </w:rPr>
        <w:t xml:space="preserve">a été proposé. </w:t>
      </w:r>
    </w:p>
    <w:p w:rsidR="006A01BD" w:rsidRDefault="006A01BD" w:rsidP="004817A4">
      <w:pPr>
        <w:jc w:val="both"/>
        <w:rPr>
          <w:rFonts w:ascii="Book Antiqua" w:hAnsi="Book Antiqua"/>
          <w:bCs/>
          <w:szCs w:val="24"/>
        </w:rPr>
      </w:pPr>
    </w:p>
    <w:p w:rsidR="004817A4" w:rsidRPr="004817A4" w:rsidRDefault="004817A4" w:rsidP="004817A4">
      <w:pPr>
        <w:jc w:val="both"/>
        <w:rPr>
          <w:rFonts w:ascii="Book Antiqua" w:hAnsi="Book Antiqua"/>
          <w:bCs/>
          <w:szCs w:val="24"/>
        </w:rPr>
      </w:pPr>
      <w:r>
        <w:rPr>
          <w:rFonts w:ascii="Book Antiqua" w:hAnsi="Book Antiqua"/>
          <w:bCs/>
          <w:szCs w:val="24"/>
        </w:rPr>
        <w:t>La commission urbanisme a examiné</w:t>
      </w:r>
      <w:r w:rsidR="006A01BD">
        <w:rPr>
          <w:rFonts w:ascii="Book Antiqua" w:hAnsi="Book Antiqua"/>
          <w:bCs/>
          <w:szCs w:val="24"/>
        </w:rPr>
        <w:t>, mercredi dernier,</w:t>
      </w:r>
      <w:r>
        <w:rPr>
          <w:rFonts w:ascii="Book Antiqua" w:hAnsi="Book Antiqua"/>
          <w:bCs/>
          <w:szCs w:val="24"/>
        </w:rPr>
        <w:t xml:space="preserve"> ce document qui sera donc opposable au Plan Local d’Urbanisme.</w:t>
      </w:r>
    </w:p>
    <w:p w:rsidR="004817A4" w:rsidRPr="004817A4" w:rsidRDefault="004817A4" w:rsidP="004817A4">
      <w:pPr>
        <w:jc w:val="both"/>
        <w:rPr>
          <w:rFonts w:ascii="Book Antiqua" w:hAnsi="Book Antiqua"/>
          <w:bCs/>
          <w:szCs w:val="24"/>
        </w:rPr>
      </w:pPr>
    </w:p>
    <w:p w:rsidR="00B13542" w:rsidRDefault="006A01BD" w:rsidP="00B13542">
      <w:pPr>
        <w:jc w:val="both"/>
        <w:rPr>
          <w:rFonts w:ascii="Book Antiqua" w:hAnsi="Book Antiqua"/>
          <w:bCs/>
          <w:szCs w:val="24"/>
        </w:rPr>
      </w:pPr>
      <w:r>
        <w:rPr>
          <w:rFonts w:ascii="Book Antiqua" w:hAnsi="Book Antiqua"/>
          <w:bCs/>
          <w:szCs w:val="24"/>
        </w:rPr>
        <w:t>Toute la procédure en amont de ces cartes de zonage réglementaire et de son règlement a été présentée. La commission a également constaté que</w:t>
      </w:r>
      <w:r w:rsidR="00B13542">
        <w:rPr>
          <w:rFonts w:ascii="Book Antiqua" w:hAnsi="Book Antiqua"/>
          <w:bCs/>
          <w:szCs w:val="24"/>
        </w:rPr>
        <w:t xml:space="preserve"> la pointe de Men </w:t>
      </w:r>
      <w:proofErr w:type="spellStart"/>
      <w:r w:rsidR="00B13542">
        <w:rPr>
          <w:rFonts w:ascii="Book Antiqua" w:hAnsi="Book Antiqua"/>
          <w:bCs/>
          <w:szCs w:val="24"/>
        </w:rPr>
        <w:t>Meur</w:t>
      </w:r>
      <w:proofErr w:type="spellEnd"/>
      <w:r w:rsidR="00B13542">
        <w:rPr>
          <w:rFonts w:ascii="Book Antiqua" w:hAnsi="Book Antiqua"/>
          <w:bCs/>
          <w:szCs w:val="24"/>
        </w:rPr>
        <w:t xml:space="preserve"> </w:t>
      </w:r>
      <w:r>
        <w:rPr>
          <w:rFonts w:ascii="Book Antiqua" w:hAnsi="Book Antiqua"/>
          <w:bCs/>
          <w:szCs w:val="24"/>
        </w:rPr>
        <w:t>a été définie</w:t>
      </w:r>
      <w:r w:rsidR="00B13542">
        <w:rPr>
          <w:rFonts w:ascii="Book Antiqua" w:hAnsi="Book Antiqua"/>
          <w:bCs/>
          <w:szCs w:val="24"/>
        </w:rPr>
        <w:t xml:space="preserve"> en zone rouge</w:t>
      </w:r>
      <w:r>
        <w:rPr>
          <w:rFonts w:ascii="Book Antiqua" w:hAnsi="Book Antiqua"/>
          <w:bCs/>
          <w:szCs w:val="24"/>
        </w:rPr>
        <w:t xml:space="preserve"> (voir carte du rapport) de manière irrégulière en suivant le modèle de calcul utilisé</w:t>
      </w:r>
      <w:r w:rsidR="00B13542">
        <w:rPr>
          <w:rFonts w:ascii="Book Antiqua" w:hAnsi="Book Antiqua"/>
          <w:bCs/>
          <w:szCs w:val="24"/>
        </w:rPr>
        <w:t xml:space="preserve">. </w:t>
      </w:r>
      <w:r>
        <w:rPr>
          <w:rFonts w:ascii="Book Antiqua" w:hAnsi="Book Antiqua"/>
          <w:bCs/>
          <w:szCs w:val="24"/>
        </w:rPr>
        <w:t>En effet</w:t>
      </w:r>
      <w:r w:rsidR="00B13542">
        <w:rPr>
          <w:rFonts w:ascii="Book Antiqua" w:hAnsi="Book Antiqua"/>
          <w:bCs/>
          <w:szCs w:val="24"/>
        </w:rPr>
        <w:t>, l</w:t>
      </w:r>
      <w:r w:rsidR="00B13542" w:rsidRPr="00B13542">
        <w:rPr>
          <w:rFonts w:ascii="Book Antiqua" w:hAnsi="Book Antiqua"/>
          <w:bCs/>
          <w:szCs w:val="24"/>
        </w:rPr>
        <w:t>a carte de synthèse des modes de submersion et d’écoulement</w:t>
      </w:r>
      <w:r>
        <w:rPr>
          <w:rFonts w:ascii="Book Antiqua" w:hAnsi="Book Antiqua"/>
          <w:bCs/>
          <w:szCs w:val="24"/>
        </w:rPr>
        <w:t xml:space="preserve"> figurant dans l’atlas cartographique</w:t>
      </w:r>
      <w:r w:rsidR="00B13542" w:rsidRPr="00B13542">
        <w:rPr>
          <w:rFonts w:ascii="Book Antiqua" w:hAnsi="Book Antiqua"/>
          <w:bCs/>
          <w:szCs w:val="24"/>
        </w:rPr>
        <w:t xml:space="preserve"> n’indique pourtant comme zone basse apr</w:t>
      </w:r>
      <w:r w:rsidR="00565795">
        <w:rPr>
          <w:rFonts w:ascii="Book Antiqua" w:hAnsi="Book Antiqua"/>
          <w:bCs/>
          <w:szCs w:val="24"/>
        </w:rPr>
        <w:t>ès superposition topographique qu’uniquement l’extrémité nord-</w:t>
      </w:r>
      <w:r w:rsidR="00B13542" w:rsidRPr="00B13542">
        <w:rPr>
          <w:rFonts w:ascii="Book Antiqua" w:hAnsi="Book Antiqua"/>
          <w:bCs/>
          <w:szCs w:val="24"/>
        </w:rPr>
        <w:t>ouest de la pointe. De même, il est précisé que le Terrain Naturel est largement supérieur au Niveau Moyen de Référence. Il n’y donc, comme le précise la carte, aucun mode de submersion.</w:t>
      </w:r>
    </w:p>
    <w:p w:rsidR="00B13542" w:rsidRPr="00B13542" w:rsidRDefault="00B13542" w:rsidP="00B13542">
      <w:pPr>
        <w:jc w:val="both"/>
        <w:rPr>
          <w:rFonts w:ascii="Book Antiqua" w:hAnsi="Book Antiqua"/>
          <w:bCs/>
          <w:szCs w:val="24"/>
        </w:rPr>
      </w:pPr>
    </w:p>
    <w:p w:rsidR="004817A4" w:rsidRPr="004817A4" w:rsidRDefault="00B13542" w:rsidP="004817A4">
      <w:pPr>
        <w:jc w:val="both"/>
        <w:rPr>
          <w:rFonts w:ascii="Book Antiqua" w:hAnsi="Book Antiqua"/>
          <w:bCs/>
          <w:szCs w:val="24"/>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1035633</wp:posOffset>
                </wp:positionH>
                <wp:positionV relativeFrom="paragraph">
                  <wp:posOffset>1141981</wp:posOffset>
                </wp:positionV>
                <wp:extent cx="2352675" cy="1120701"/>
                <wp:effectExtent l="0" t="209550" r="0" b="213360"/>
                <wp:wrapNone/>
                <wp:docPr id="2" name="Ellipse 2"/>
                <wp:cNvGraphicFramePr/>
                <a:graphic xmlns:a="http://schemas.openxmlformats.org/drawingml/2006/main">
                  <a:graphicData uri="http://schemas.microsoft.com/office/word/2010/wordprocessingShape">
                    <wps:wsp>
                      <wps:cNvSpPr/>
                      <wps:spPr>
                        <a:xfrm rot="19858754">
                          <a:off x="0" y="0"/>
                          <a:ext cx="2352675" cy="112070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margin-left:81.55pt;margin-top:89.9pt;width:185.25pt;height:88.25pt;rotation:-190190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" filled="f" strokecolor="#243f60 [1604]" strokeweight="2pt"/>
            </w:pict>
          </mc:Fallback>
        </mc:AlternateContent>
      </w:r>
      <w:r>
        <w:rPr>
          <w:noProof/>
          <w:lang w:eastAsia="fr-FR"/>
        </w:rPr>
        <w:drawing>
          <wp:inline distT="0" distB="0" distL="0" distR="0" wp14:anchorId="0C0B360F" wp14:editId="25259832">
            <wp:extent cx="5756910" cy="32225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222535"/>
                    </a:xfrm>
                    <a:prstGeom prst="rect">
                      <a:avLst/>
                    </a:prstGeom>
                    <a:noFill/>
                    <a:ln>
                      <a:noFill/>
                    </a:ln>
                  </pic:spPr>
                </pic:pic>
              </a:graphicData>
            </a:graphic>
          </wp:inline>
        </w:drawing>
      </w:r>
    </w:p>
    <w:p w:rsidR="004817A4" w:rsidRPr="004817A4" w:rsidRDefault="004817A4" w:rsidP="004817A4">
      <w:pPr>
        <w:jc w:val="both"/>
        <w:rPr>
          <w:rFonts w:ascii="Book Antiqua" w:hAnsi="Book Antiqua"/>
          <w:bCs/>
          <w:szCs w:val="24"/>
        </w:rPr>
      </w:pPr>
    </w:p>
    <w:p w:rsidR="00B13542" w:rsidRDefault="00B13542" w:rsidP="004817A4">
      <w:pPr>
        <w:jc w:val="both"/>
        <w:rPr>
          <w:rFonts w:ascii="Book Antiqua" w:hAnsi="Book Antiqua"/>
          <w:bCs/>
          <w:szCs w:val="24"/>
        </w:rPr>
      </w:pPr>
      <w:r>
        <w:rPr>
          <w:rFonts w:ascii="Book Antiqua" w:hAnsi="Book Antiqua"/>
          <w:bCs/>
          <w:szCs w:val="24"/>
        </w:rPr>
        <w:t xml:space="preserve">Sur le règlement, certains points formulés collectivement avec les autres collectivités concernées n’ont pas été retenus. Il est important dans ce document de préserver </w:t>
      </w:r>
      <w:r w:rsidRPr="004817A4">
        <w:rPr>
          <w:rFonts w:ascii="Book Antiqua" w:hAnsi="Book Antiqua"/>
          <w:bCs/>
          <w:szCs w:val="24"/>
        </w:rPr>
        <w:t xml:space="preserve">la pérennité et le développement des activités économiques liées </w:t>
      </w:r>
      <w:r>
        <w:rPr>
          <w:rFonts w:ascii="Book Antiqua" w:hAnsi="Book Antiqua"/>
          <w:bCs/>
          <w:szCs w:val="24"/>
        </w:rPr>
        <w:t xml:space="preserve">à la pêche et </w:t>
      </w:r>
      <w:r w:rsidRPr="004817A4">
        <w:rPr>
          <w:rFonts w:ascii="Book Antiqua" w:hAnsi="Book Antiqua"/>
          <w:bCs/>
          <w:szCs w:val="24"/>
        </w:rPr>
        <w:t>au tourisme</w:t>
      </w:r>
      <w:r>
        <w:rPr>
          <w:rFonts w:ascii="Book Antiqua" w:hAnsi="Book Antiqua"/>
          <w:bCs/>
          <w:szCs w:val="24"/>
        </w:rPr>
        <w:t>.</w:t>
      </w:r>
    </w:p>
    <w:p w:rsidR="00B13542" w:rsidRDefault="00B13542" w:rsidP="004817A4">
      <w:pPr>
        <w:jc w:val="both"/>
        <w:rPr>
          <w:rFonts w:ascii="Book Antiqua" w:hAnsi="Book Antiqua"/>
          <w:bCs/>
          <w:szCs w:val="24"/>
        </w:rPr>
      </w:pPr>
    </w:p>
    <w:p w:rsidR="004817A4" w:rsidRPr="004817A4" w:rsidRDefault="006A01BD" w:rsidP="004817A4">
      <w:pPr>
        <w:jc w:val="both"/>
        <w:rPr>
          <w:rFonts w:ascii="Book Antiqua" w:hAnsi="Book Antiqua"/>
          <w:bCs/>
          <w:szCs w:val="24"/>
        </w:rPr>
      </w:pPr>
      <w:r>
        <w:rPr>
          <w:rFonts w:ascii="Book Antiqua" w:hAnsi="Book Antiqua"/>
          <w:bCs/>
          <w:szCs w:val="24"/>
        </w:rPr>
        <w:t>Ainsi, i</w:t>
      </w:r>
      <w:r w:rsidR="00B13542">
        <w:rPr>
          <w:rFonts w:ascii="Book Antiqua" w:hAnsi="Book Antiqua"/>
          <w:bCs/>
          <w:szCs w:val="24"/>
        </w:rPr>
        <w:t>l est proposé au conseil municipal :</w:t>
      </w:r>
    </w:p>
    <w:p w:rsidR="004817A4" w:rsidRDefault="00B13542" w:rsidP="00B13542">
      <w:pPr>
        <w:pStyle w:val="Paragraphedeliste"/>
        <w:numPr>
          <w:ilvl w:val="0"/>
          <w:numId w:val="15"/>
        </w:numPr>
        <w:jc w:val="both"/>
        <w:rPr>
          <w:rFonts w:ascii="Book Antiqua" w:hAnsi="Book Antiqua"/>
          <w:bCs/>
          <w:szCs w:val="24"/>
        </w:rPr>
      </w:pPr>
      <w:r>
        <w:rPr>
          <w:rFonts w:ascii="Book Antiqua" w:hAnsi="Book Antiqua"/>
          <w:bCs/>
          <w:szCs w:val="24"/>
        </w:rPr>
        <w:t>D’a</w:t>
      </w:r>
      <w:r w:rsidR="004817A4" w:rsidRPr="00B13542">
        <w:rPr>
          <w:rFonts w:ascii="Book Antiqua" w:hAnsi="Book Antiqua"/>
          <w:bCs/>
          <w:szCs w:val="24"/>
        </w:rPr>
        <w:t>ffirme</w:t>
      </w:r>
      <w:r>
        <w:rPr>
          <w:rFonts w:ascii="Book Antiqua" w:hAnsi="Book Antiqua"/>
          <w:bCs/>
          <w:szCs w:val="24"/>
        </w:rPr>
        <w:t>r</w:t>
      </w:r>
      <w:r w:rsidR="004817A4" w:rsidRPr="00B13542">
        <w:rPr>
          <w:rFonts w:ascii="Book Antiqua" w:hAnsi="Book Antiqua"/>
          <w:bCs/>
          <w:szCs w:val="24"/>
        </w:rPr>
        <w:t xml:space="preserve"> sa volonté qu’un PPRL soit appliqué afin de répondre au besoin de prévention du risque de submersion marine dans l’aménagement de son territoire dans l’objectif de réduire la vulnérabilité des biens et des personnes exposées aux inondations ;</w:t>
      </w:r>
    </w:p>
    <w:p w:rsidR="00B13542" w:rsidRPr="00B13542" w:rsidRDefault="00B13542" w:rsidP="00B13542">
      <w:pPr>
        <w:pStyle w:val="Paragraphedeliste"/>
        <w:numPr>
          <w:ilvl w:val="0"/>
          <w:numId w:val="15"/>
        </w:numPr>
        <w:spacing w:after="0"/>
        <w:ind w:left="714" w:hanging="357"/>
        <w:jc w:val="both"/>
        <w:rPr>
          <w:rFonts w:ascii="Book Antiqua" w:hAnsi="Book Antiqua"/>
          <w:bCs/>
          <w:szCs w:val="24"/>
        </w:rPr>
      </w:pPr>
      <w:r>
        <w:rPr>
          <w:rFonts w:ascii="Book Antiqua" w:hAnsi="Book Antiqua"/>
          <w:bCs/>
          <w:szCs w:val="24"/>
        </w:rPr>
        <w:t xml:space="preserve">D’émettre un avis défavorable sur le projet de </w:t>
      </w:r>
      <w:r w:rsidRPr="00B13542">
        <w:rPr>
          <w:rFonts w:ascii="Book Antiqua" w:hAnsi="Book Antiqua"/>
          <w:bCs/>
          <w:szCs w:val="24"/>
        </w:rPr>
        <w:t>Plan de Prévention des Risques Littoraux « Ouest Odet »</w:t>
      </w:r>
      <w:r>
        <w:rPr>
          <w:rFonts w:ascii="Book Antiqua" w:hAnsi="Book Antiqua"/>
          <w:bCs/>
          <w:szCs w:val="24"/>
        </w:rPr>
        <w:t xml:space="preserve"> en demandant de supprimer de la zone rouge la pointe de </w:t>
      </w:r>
      <w:r>
        <w:rPr>
          <w:rFonts w:ascii="Book Antiqua" w:hAnsi="Book Antiqua"/>
          <w:bCs/>
          <w:szCs w:val="24"/>
        </w:rPr>
        <w:lastRenderedPageBreak/>
        <w:t xml:space="preserve">Men </w:t>
      </w:r>
      <w:proofErr w:type="spellStart"/>
      <w:r>
        <w:rPr>
          <w:rFonts w:ascii="Book Antiqua" w:hAnsi="Book Antiqua"/>
          <w:bCs/>
          <w:szCs w:val="24"/>
        </w:rPr>
        <w:t>Meur</w:t>
      </w:r>
      <w:proofErr w:type="spellEnd"/>
      <w:r>
        <w:rPr>
          <w:rFonts w:ascii="Book Antiqua" w:hAnsi="Book Antiqua"/>
          <w:bCs/>
          <w:szCs w:val="24"/>
        </w:rPr>
        <w:t xml:space="preserve"> pour les raisons évoquées ci-dessus et d’apporter des compléments et des modifications au règlement sur les points suivants :</w:t>
      </w:r>
    </w:p>
    <w:p w:rsidR="004817A4" w:rsidRPr="00B13542" w:rsidRDefault="004817A4" w:rsidP="00B13542">
      <w:pPr>
        <w:numPr>
          <w:ilvl w:val="0"/>
          <w:numId w:val="16"/>
        </w:numPr>
        <w:ind w:left="1134"/>
        <w:jc w:val="both"/>
        <w:rPr>
          <w:rFonts w:ascii="Book Antiqua" w:hAnsi="Book Antiqua"/>
          <w:bCs/>
          <w:i/>
          <w:sz w:val="22"/>
          <w:szCs w:val="24"/>
        </w:rPr>
      </w:pPr>
      <w:r w:rsidRPr="00B13542">
        <w:rPr>
          <w:rFonts w:ascii="Book Antiqua" w:hAnsi="Book Antiqua"/>
          <w:bCs/>
          <w:i/>
          <w:sz w:val="22"/>
          <w:szCs w:val="24"/>
        </w:rPr>
        <w:t>une meilleure prise en compte des équipements, infrastructures et réseaux de service public et d’intérêt général ;</w:t>
      </w:r>
    </w:p>
    <w:p w:rsidR="004817A4" w:rsidRPr="00B13542" w:rsidRDefault="004817A4" w:rsidP="00B13542">
      <w:pPr>
        <w:numPr>
          <w:ilvl w:val="0"/>
          <w:numId w:val="16"/>
        </w:numPr>
        <w:ind w:left="1134"/>
        <w:jc w:val="both"/>
        <w:rPr>
          <w:rFonts w:ascii="Book Antiqua" w:hAnsi="Book Antiqua"/>
          <w:bCs/>
          <w:i/>
          <w:sz w:val="22"/>
          <w:szCs w:val="24"/>
        </w:rPr>
      </w:pPr>
      <w:r w:rsidRPr="00B13542">
        <w:rPr>
          <w:rFonts w:ascii="Book Antiqua" w:hAnsi="Book Antiqua"/>
          <w:bCs/>
          <w:i/>
          <w:sz w:val="22"/>
          <w:szCs w:val="24"/>
        </w:rPr>
        <w:t xml:space="preserve">une adaptation du règlement garantissant la pérennité et le développement des activités économiques liées </w:t>
      </w:r>
      <w:r w:rsidR="00B13542">
        <w:rPr>
          <w:rFonts w:ascii="Book Antiqua" w:hAnsi="Book Antiqua"/>
          <w:bCs/>
          <w:i/>
          <w:sz w:val="22"/>
          <w:szCs w:val="24"/>
        </w:rPr>
        <w:t xml:space="preserve">à la pêche et </w:t>
      </w:r>
      <w:r w:rsidRPr="00B13542">
        <w:rPr>
          <w:rFonts w:ascii="Book Antiqua" w:hAnsi="Book Antiqua"/>
          <w:bCs/>
          <w:i/>
          <w:sz w:val="22"/>
          <w:szCs w:val="24"/>
        </w:rPr>
        <w:t>au tourisme ;</w:t>
      </w:r>
    </w:p>
    <w:p w:rsidR="004817A4" w:rsidRPr="00B13542" w:rsidRDefault="004817A4" w:rsidP="00B13542">
      <w:pPr>
        <w:numPr>
          <w:ilvl w:val="0"/>
          <w:numId w:val="16"/>
        </w:numPr>
        <w:ind w:left="1134"/>
        <w:jc w:val="both"/>
        <w:rPr>
          <w:rFonts w:ascii="Book Antiqua" w:hAnsi="Book Antiqua"/>
          <w:bCs/>
          <w:i/>
          <w:sz w:val="22"/>
          <w:szCs w:val="24"/>
        </w:rPr>
      </w:pPr>
      <w:r w:rsidRPr="00B13542">
        <w:rPr>
          <w:rFonts w:ascii="Book Antiqua" w:hAnsi="Book Antiqua"/>
          <w:bCs/>
          <w:i/>
          <w:sz w:val="22"/>
          <w:szCs w:val="24"/>
        </w:rPr>
        <w:t>l’introduction de la notion d’impossibilité fonctionnelle afin de permettre à certains projets d’être exemptés de l’obligation de situer leur premier niveau de plancher au-dessus de la cote de l’aléa de référence ou à échéance 100 ans, sous réserve de prendre des mesures de réduction de la vulnérabilité du bâti.</w:t>
      </w:r>
    </w:p>
    <w:p w:rsidR="0008712E" w:rsidRDefault="0008712E" w:rsidP="0008712E">
      <w:pPr>
        <w:jc w:val="both"/>
        <w:rPr>
          <w:rFonts w:ascii="Book Antiqua" w:hAnsi="Book Antiqua"/>
          <w:bCs/>
          <w:szCs w:val="24"/>
        </w:rPr>
      </w:pPr>
    </w:p>
    <w:p w:rsidR="003C6842" w:rsidRPr="005631BA" w:rsidRDefault="005631BA" w:rsidP="0008712E">
      <w:pPr>
        <w:jc w:val="both"/>
        <w:rPr>
          <w:rFonts w:ascii="Book Antiqua" w:hAnsi="Book Antiqua"/>
          <w:b/>
          <w:bCs/>
          <w:szCs w:val="24"/>
        </w:rPr>
      </w:pPr>
      <w:r w:rsidRPr="005631BA">
        <w:rPr>
          <w:rFonts w:ascii="Book Antiqua" w:hAnsi="Book Antiqua"/>
          <w:b/>
          <w:bCs/>
          <w:szCs w:val="24"/>
        </w:rPr>
        <w:t>Avec une abstention (Gaëlle Le Gall), le  conseil émet un avis défavorable au projet de PPRL pour les raisons évoqués ci-dessus.</w:t>
      </w:r>
    </w:p>
    <w:p w:rsidR="005631BA" w:rsidRDefault="005631BA" w:rsidP="0008712E">
      <w:pPr>
        <w:jc w:val="both"/>
        <w:rPr>
          <w:rFonts w:ascii="Book Antiqua" w:hAnsi="Book Antiqua"/>
          <w:bCs/>
          <w:szCs w:val="24"/>
        </w:rPr>
      </w:pPr>
    </w:p>
    <w:p w:rsidR="005631BA" w:rsidRDefault="005631BA" w:rsidP="0008712E">
      <w:pPr>
        <w:jc w:val="both"/>
        <w:rPr>
          <w:rFonts w:ascii="Book Antiqua" w:hAnsi="Book Antiqua"/>
          <w:bCs/>
          <w:szCs w:val="24"/>
        </w:rPr>
      </w:pPr>
    </w:p>
    <w:p w:rsidR="003C6842" w:rsidRDefault="003C6842" w:rsidP="0008712E">
      <w:pPr>
        <w:jc w:val="both"/>
        <w:rPr>
          <w:rFonts w:ascii="Book Antiqua" w:hAnsi="Book Antiqua"/>
          <w:b/>
          <w:bCs/>
          <w:szCs w:val="24"/>
          <w:u w:val="single"/>
        </w:rPr>
      </w:pPr>
      <w:r w:rsidRPr="003C6842">
        <w:rPr>
          <w:rFonts w:ascii="Book Antiqua" w:hAnsi="Book Antiqua"/>
          <w:b/>
          <w:bCs/>
          <w:szCs w:val="24"/>
          <w:u w:val="single"/>
        </w:rPr>
        <w:t>Motion contre l’interdiction du chalutage en eaux profondes</w:t>
      </w:r>
    </w:p>
    <w:p w:rsidR="003C6842" w:rsidRDefault="003C6842" w:rsidP="0008712E">
      <w:pPr>
        <w:jc w:val="both"/>
        <w:rPr>
          <w:rFonts w:ascii="Book Antiqua" w:hAnsi="Book Antiqua"/>
          <w:bCs/>
          <w:szCs w:val="24"/>
        </w:rPr>
      </w:pPr>
      <w:r>
        <w:rPr>
          <w:rFonts w:ascii="Book Antiqua" w:hAnsi="Book Antiqua"/>
          <w:bCs/>
          <w:szCs w:val="24"/>
        </w:rPr>
        <w:t>Monsieur le Maire rappelle au conseil les discussions actuelles au Parlement sur la</w:t>
      </w:r>
      <w:r w:rsidRPr="003C6842">
        <w:rPr>
          <w:rFonts w:ascii="Book Antiqua" w:hAnsi="Book Antiqua"/>
          <w:bCs/>
          <w:szCs w:val="24"/>
        </w:rPr>
        <w:t xml:space="preserve"> loi-cadre </w:t>
      </w:r>
      <w:r>
        <w:rPr>
          <w:rFonts w:ascii="Book Antiqua" w:hAnsi="Book Antiqua"/>
          <w:bCs/>
          <w:szCs w:val="24"/>
        </w:rPr>
        <w:t>relative à</w:t>
      </w:r>
      <w:r w:rsidRPr="003C6842">
        <w:rPr>
          <w:rFonts w:ascii="Book Antiqua" w:hAnsi="Book Antiqua"/>
          <w:bCs/>
          <w:szCs w:val="24"/>
        </w:rPr>
        <w:t xml:space="preserve"> la biodiversité. Son article 56 pourrait </w:t>
      </w:r>
      <w:r w:rsidRPr="003C6842">
        <w:rPr>
          <w:rFonts w:ascii="Book Antiqua" w:hAnsi="Book Antiqua"/>
          <w:b/>
          <w:bCs/>
          <w:szCs w:val="24"/>
          <w:u w:val="single"/>
        </w:rPr>
        <w:t>conduire à interdire dans le futur toute l'activité de pêche au chalut</w:t>
      </w:r>
      <w:r w:rsidRPr="003C6842">
        <w:rPr>
          <w:rFonts w:ascii="Book Antiqua" w:hAnsi="Book Antiqua"/>
          <w:bCs/>
          <w:szCs w:val="24"/>
        </w:rPr>
        <w:t>. </w:t>
      </w:r>
      <w:r>
        <w:rPr>
          <w:rFonts w:ascii="Book Antiqua" w:hAnsi="Book Antiqua"/>
          <w:bCs/>
          <w:szCs w:val="24"/>
        </w:rPr>
        <w:t>Dans la continuité du mail adressé aux membres de cette assemblée, il propose que la motion suivante soit adoptée :</w:t>
      </w:r>
    </w:p>
    <w:p w:rsidR="006A01BD" w:rsidRDefault="006A01BD" w:rsidP="0008712E">
      <w:pPr>
        <w:jc w:val="both"/>
        <w:rPr>
          <w:rFonts w:ascii="Book Antiqua" w:hAnsi="Book Antiqua"/>
          <w:bCs/>
          <w:szCs w:val="24"/>
        </w:rPr>
      </w:pPr>
    </w:p>
    <w:p w:rsidR="003C6842" w:rsidRPr="00EA6840" w:rsidRDefault="003C6842" w:rsidP="003C6842">
      <w:pPr>
        <w:contextualSpacing/>
        <w:jc w:val="both"/>
        <w:rPr>
          <w:bCs/>
        </w:rPr>
      </w:pPr>
      <w:r w:rsidRPr="00EA6840">
        <w:rPr>
          <w:bCs/>
        </w:rPr>
        <w:t>Le projet de loi-cadre n°1847 relatif à la reconquête de la biodiversité, de la nature et des paysages</w:t>
      </w:r>
      <w:r>
        <w:rPr>
          <w:bCs/>
        </w:rPr>
        <w:t xml:space="preserve"> est en cours de discussion au Parlement. </w:t>
      </w:r>
      <w:r w:rsidRPr="00EA6840">
        <w:rPr>
          <w:bCs/>
        </w:rPr>
        <w:t xml:space="preserve">À l’initiative de Bertrand </w:t>
      </w:r>
      <w:proofErr w:type="spellStart"/>
      <w:r w:rsidRPr="00EA6840">
        <w:rPr>
          <w:bCs/>
        </w:rPr>
        <w:t>Pancher</w:t>
      </w:r>
      <w:proofErr w:type="spellEnd"/>
      <w:r w:rsidRPr="00EA6840">
        <w:rPr>
          <w:bCs/>
        </w:rPr>
        <w:t xml:space="preserve"> (UDI) </w:t>
      </w:r>
      <w:r>
        <w:rPr>
          <w:bCs/>
        </w:rPr>
        <w:t xml:space="preserve">ainsi </w:t>
      </w:r>
      <w:r w:rsidRPr="00EA6840">
        <w:rPr>
          <w:bCs/>
        </w:rPr>
        <w:t xml:space="preserve">que des députés PS et LR un amendement </w:t>
      </w:r>
      <w:r>
        <w:rPr>
          <w:bCs/>
        </w:rPr>
        <w:t>a été voté</w:t>
      </w:r>
      <w:r w:rsidRPr="00EA6840">
        <w:rPr>
          <w:bCs/>
        </w:rPr>
        <w:t>, lors de la deuxième lecture du texte en commission,</w:t>
      </w:r>
      <w:r>
        <w:rPr>
          <w:bCs/>
        </w:rPr>
        <w:t xml:space="preserve"> </w:t>
      </w:r>
      <w:r w:rsidRPr="00EA6840">
        <w:rPr>
          <w:bCs/>
        </w:rPr>
        <w:t xml:space="preserve">visant l’interdiction du chalutage en eaux profondes </w:t>
      </w:r>
      <w:r>
        <w:rPr>
          <w:bCs/>
        </w:rPr>
        <w:t xml:space="preserve">(article 56 du projet de loi) </w:t>
      </w:r>
      <w:r w:rsidRPr="00EA6840">
        <w:rPr>
          <w:bCs/>
        </w:rPr>
        <w:t>et renvoyant à un décret le soin de la mettre en œuvre.</w:t>
      </w:r>
    </w:p>
    <w:p w:rsidR="003C6842" w:rsidRDefault="003C6842" w:rsidP="003C6842">
      <w:pPr>
        <w:contextualSpacing/>
        <w:jc w:val="both"/>
      </w:pPr>
    </w:p>
    <w:p w:rsidR="003C6842" w:rsidRPr="00EA6840" w:rsidRDefault="003C6842" w:rsidP="003C6842">
      <w:pPr>
        <w:contextualSpacing/>
        <w:jc w:val="both"/>
      </w:pPr>
      <w:r w:rsidRPr="00EA6840">
        <w:t>Cet amendement port</w:t>
      </w:r>
      <w:r>
        <w:t>ait</w:t>
      </w:r>
      <w:r w:rsidRPr="00EA6840">
        <w:t xml:space="preserve"> en lui la menace d’une interdiction totale du chalutage, soit la disparition de toute une filière économique. Faut-il le rappeler mais l’économie de nos territoires littoraux dépend largement d’une filière pêche diversifiée et créatrice d’emplois. Par ailleurs, le chalutage est historiquement la colonne vertébrale de nos ports.</w:t>
      </w:r>
    </w:p>
    <w:p w:rsidR="003C6842" w:rsidRDefault="003C6842" w:rsidP="003C6842">
      <w:pPr>
        <w:contextualSpacing/>
        <w:jc w:val="both"/>
      </w:pPr>
    </w:p>
    <w:p w:rsidR="003C6842" w:rsidRPr="00EA6840" w:rsidRDefault="003C6842" w:rsidP="003C6842">
      <w:pPr>
        <w:contextualSpacing/>
        <w:jc w:val="both"/>
      </w:pPr>
      <w:r w:rsidRPr="00EA6840">
        <w:t>L’interdiction de chalutage sera finalement rejetée par l’Assemblée nationale au cours de la séance du 17 mars. Les députés ont en effet adopté des </w:t>
      </w:r>
      <w:hyperlink r:id="rId11" w:history="1">
        <w:r w:rsidRPr="00EA6840">
          <w:rPr>
            <w:rStyle w:val="Lienhypertexte"/>
          </w:rPr>
          <w:t>amendements</w:t>
        </w:r>
      </w:hyperlink>
      <w:r w:rsidRPr="00EA6840">
        <w:t>, venant tant de l’opposition que des rangs socialistes, annulant </w:t>
      </w:r>
      <w:hyperlink r:id="rId12" w:history="1">
        <w:r w:rsidRPr="00EA6840">
          <w:rPr>
            <w:rStyle w:val="Lienhypertexte"/>
          </w:rPr>
          <w:t>l’interdiction votée</w:t>
        </w:r>
      </w:hyperlink>
      <w:r w:rsidRPr="00EA6840">
        <w:t> une semaine auparavant en commission. Le texte supprimé prévoyait une amende de 22.500 euros maximum pour le fait de pratiquer le chalutage en eaux profondes.</w:t>
      </w:r>
    </w:p>
    <w:p w:rsidR="003C6842" w:rsidRDefault="003C6842" w:rsidP="003C6842">
      <w:pPr>
        <w:contextualSpacing/>
        <w:jc w:val="both"/>
      </w:pPr>
    </w:p>
    <w:p w:rsidR="003C6842" w:rsidRPr="00EA6840" w:rsidRDefault="003C6842" w:rsidP="003C6842">
      <w:pPr>
        <w:contextualSpacing/>
        <w:jc w:val="both"/>
        <w:rPr>
          <w:color w:val="000000"/>
        </w:rPr>
      </w:pPr>
      <w:r w:rsidRPr="00EA6840">
        <w:rPr>
          <w:iCs/>
          <w:color w:val="000000"/>
        </w:rPr>
        <w:t xml:space="preserve">De </w:t>
      </w:r>
      <w:r>
        <w:rPr>
          <w:iCs/>
          <w:color w:val="000000"/>
        </w:rPr>
        <w:t xml:space="preserve">surcroit, de </w:t>
      </w:r>
      <w:r w:rsidRPr="00EA6840">
        <w:rPr>
          <w:iCs/>
          <w:color w:val="000000"/>
        </w:rPr>
        <w:t>nouvelles mesures d’encadrement sont actuellement en cours de discussion au niveau européen dans la mesure où cette activité est pratiquée, dans une même zone, par des navires de différents Etats de l’Union européenne. Il ne serait donc nullement efficace d’introduire une règlementation nationale applicable uniquement aux navires français.</w:t>
      </w:r>
    </w:p>
    <w:p w:rsidR="003C6842" w:rsidRPr="00EA6840" w:rsidRDefault="003C6842" w:rsidP="003C6842">
      <w:pPr>
        <w:contextualSpacing/>
        <w:jc w:val="both"/>
        <w:rPr>
          <w:color w:val="000000"/>
        </w:rPr>
      </w:pPr>
    </w:p>
    <w:p w:rsidR="003C6842" w:rsidRPr="00EA6840" w:rsidRDefault="003C6842" w:rsidP="003C6842">
      <w:pPr>
        <w:contextualSpacing/>
        <w:jc w:val="both"/>
        <w:rPr>
          <w:color w:val="000000"/>
        </w:rPr>
      </w:pPr>
      <w:r w:rsidRPr="00EA6840">
        <w:t>En novembre dernier, les pêcheurs professionnels français ont accepté une interdiction-delà d’une profondeur de 800 mètres au niveau européen. Aujourd’hui</w:t>
      </w:r>
      <w:r>
        <w:t>, la profession ainsi que les élus locaux</w:t>
      </w:r>
      <w:r w:rsidRPr="00EA6840">
        <w:t xml:space="preserve"> </w:t>
      </w:r>
      <w:r>
        <w:t>se sentent</w:t>
      </w:r>
      <w:r w:rsidRPr="00EA6840">
        <w:t xml:space="preserve"> légitimement trahis par cet article 56 de la loi-cadre sur la biodiversité.</w:t>
      </w:r>
    </w:p>
    <w:p w:rsidR="003C6842" w:rsidRPr="00EA6840" w:rsidRDefault="003C6842" w:rsidP="003C6842">
      <w:pPr>
        <w:contextualSpacing/>
        <w:jc w:val="both"/>
      </w:pPr>
    </w:p>
    <w:p w:rsidR="003C6842" w:rsidRPr="00EA6840" w:rsidRDefault="003C6842" w:rsidP="003C6842">
      <w:pPr>
        <w:contextualSpacing/>
        <w:jc w:val="both"/>
      </w:pPr>
      <w:r w:rsidRPr="00EA6840">
        <w:t>Les pêcheurs professionnels sont profondément attachés à leur métier. Ils ont adopté depuis de nombreuses années des initiatives en faveur d’une pêche durable et responsable et restent les meilleures sentinelles de l’environnement marin.</w:t>
      </w:r>
    </w:p>
    <w:p w:rsidR="003C6842" w:rsidRPr="00EA6840" w:rsidRDefault="003C6842" w:rsidP="003C6842">
      <w:pPr>
        <w:contextualSpacing/>
        <w:jc w:val="both"/>
      </w:pPr>
    </w:p>
    <w:p w:rsidR="003C6842" w:rsidRPr="00EA6840" w:rsidRDefault="003C6842" w:rsidP="003C6842">
      <w:pPr>
        <w:contextualSpacing/>
        <w:jc w:val="both"/>
      </w:pPr>
      <w:r>
        <w:t xml:space="preserve">Pour toutes ces raisons, le conseil municipal du Guilvinec, premier </w:t>
      </w:r>
      <w:r w:rsidR="006A01BD">
        <w:t xml:space="preserve">port </w:t>
      </w:r>
      <w:r>
        <w:t>de pêche artisanal de France,</w:t>
      </w:r>
      <w:r w:rsidRPr="00EA6840">
        <w:t xml:space="preserve"> demande solennellement </w:t>
      </w:r>
      <w:r>
        <w:t>aux membres du Parlement l’abandon de toutes mesures nationales visant à interdire ou réduire la pratique du chalutage en eaux profondes.</w:t>
      </w:r>
    </w:p>
    <w:p w:rsidR="003C6842" w:rsidRDefault="003C6842" w:rsidP="0008712E">
      <w:pPr>
        <w:jc w:val="both"/>
        <w:rPr>
          <w:rFonts w:ascii="Book Antiqua" w:hAnsi="Book Antiqua"/>
          <w:bCs/>
          <w:szCs w:val="24"/>
        </w:rPr>
      </w:pPr>
    </w:p>
    <w:p w:rsidR="005631BA" w:rsidRDefault="005631BA" w:rsidP="005631BA">
      <w:pPr>
        <w:jc w:val="both"/>
        <w:rPr>
          <w:rFonts w:ascii="Book Antiqua" w:hAnsi="Book Antiqua"/>
          <w:b/>
          <w:bCs/>
          <w:szCs w:val="24"/>
        </w:rPr>
      </w:pPr>
      <w:r w:rsidRPr="005631BA">
        <w:rPr>
          <w:rFonts w:ascii="Book Antiqua" w:hAnsi="Book Antiqua"/>
          <w:b/>
          <w:bCs/>
          <w:szCs w:val="24"/>
        </w:rPr>
        <w:t>Avec une abstention (</w:t>
      </w:r>
      <w:r>
        <w:rPr>
          <w:rFonts w:ascii="Book Antiqua" w:hAnsi="Book Antiqua"/>
          <w:b/>
          <w:bCs/>
          <w:szCs w:val="24"/>
        </w:rPr>
        <w:t xml:space="preserve">Guillaume </w:t>
      </w:r>
      <w:proofErr w:type="spellStart"/>
      <w:r>
        <w:rPr>
          <w:rFonts w:ascii="Book Antiqua" w:hAnsi="Book Antiqua"/>
          <w:b/>
          <w:bCs/>
          <w:szCs w:val="24"/>
        </w:rPr>
        <w:t>Couant</w:t>
      </w:r>
      <w:proofErr w:type="spellEnd"/>
      <w:r w:rsidRPr="005631BA">
        <w:rPr>
          <w:rFonts w:ascii="Book Antiqua" w:hAnsi="Book Antiqua"/>
          <w:b/>
          <w:bCs/>
          <w:szCs w:val="24"/>
        </w:rPr>
        <w:t xml:space="preserve">), le  conseil </w:t>
      </w:r>
      <w:r>
        <w:rPr>
          <w:rFonts w:ascii="Book Antiqua" w:hAnsi="Book Antiqua"/>
          <w:b/>
          <w:bCs/>
          <w:szCs w:val="24"/>
        </w:rPr>
        <w:t>adopte la motion proposée</w:t>
      </w:r>
      <w:r w:rsidRPr="005631BA">
        <w:rPr>
          <w:rFonts w:ascii="Book Antiqua" w:hAnsi="Book Antiqua"/>
          <w:b/>
          <w:bCs/>
          <w:szCs w:val="24"/>
        </w:rPr>
        <w:t>.</w:t>
      </w:r>
    </w:p>
    <w:p w:rsidR="00776479" w:rsidRDefault="00776479" w:rsidP="005631BA">
      <w:pPr>
        <w:jc w:val="both"/>
        <w:rPr>
          <w:rFonts w:ascii="Book Antiqua" w:hAnsi="Book Antiqua"/>
          <w:b/>
          <w:bCs/>
          <w:szCs w:val="24"/>
        </w:rPr>
      </w:pPr>
    </w:p>
    <w:p w:rsidR="00776479" w:rsidRDefault="00776479" w:rsidP="005631BA">
      <w:pPr>
        <w:jc w:val="both"/>
        <w:rPr>
          <w:rFonts w:ascii="Book Antiqua" w:hAnsi="Book Antiqua"/>
          <w:b/>
          <w:bCs/>
          <w:szCs w:val="24"/>
        </w:rPr>
      </w:pPr>
    </w:p>
    <w:p w:rsidR="00776479" w:rsidRDefault="00776479" w:rsidP="005631BA">
      <w:pPr>
        <w:jc w:val="both"/>
        <w:rPr>
          <w:rFonts w:ascii="Book Antiqua" w:hAnsi="Book Antiqua"/>
          <w:b/>
          <w:bCs/>
          <w:szCs w:val="24"/>
        </w:rPr>
      </w:pPr>
    </w:p>
    <w:p w:rsidR="00776479" w:rsidRPr="00776479" w:rsidRDefault="00776479" w:rsidP="005631BA">
      <w:pPr>
        <w:jc w:val="both"/>
        <w:rPr>
          <w:rFonts w:ascii="Book Antiqua" w:hAnsi="Book Antiqua"/>
          <w:bCs/>
          <w:szCs w:val="24"/>
        </w:rPr>
      </w:pPr>
      <w:r w:rsidRPr="00776479">
        <w:rPr>
          <w:rFonts w:ascii="Book Antiqua" w:hAnsi="Book Antiqua"/>
          <w:bCs/>
          <w:szCs w:val="24"/>
        </w:rPr>
        <w:t>La secrétaire de séance,</w:t>
      </w:r>
    </w:p>
    <w:p w:rsidR="00776479" w:rsidRPr="00776479" w:rsidRDefault="00776479" w:rsidP="005631BA">
      <w:pPr>
        <w:jc w:val="both"/>
        <w:rPr>
          <w:rFonts w:ascii="Book Antiqua" w:hAnsi="Book Antiqua"/>
          <w:bCs/>
          <w:szCs w:val="24"/>
        </w:rPr>
      </w:pPr>
      <w:r w:rsidRPr="00776479">
        <w:rPr>
          <w:rFonts w:ascii="Book Antiqua" w:hAnsi="Book Antiqua"/>
          <w:bCs/>
          <w:szCs w:val="24"/>
        </w:rPr>
        <w:t xml:space="preserve">Stéphanie </w:t>
      </w:r>
      <w:proofErr w:type="spellStart"/>
      <w:r w:rsidRPr="00776479">
        <w:rPr>
          <w:rFonts w:ascii="Book Antiqua" w:hAnsi="Book Antiqua"/>
          <w:bCs/>
          <w:szCs w:val="24"/>
        </w:rPr>
        <w:t>Gadonnay</w:t>
      </w:r>
      <w:proofErr w:type="spellEnd"/>
    </w:p>
    <w:p w:rsidR="005631BA" w:rsidRPr="003C6842" w:rsidRDefault="005631BA" w:rsidP="0008712E">
      <w:pPr>
        <w:jc w:val="both"/>
        <w:rPr>
          <w:rFonts w:ascii="Book Antiqua" w:hAnsi="Book Antiqua"/>
          <w:bCs/>
          <w:szCs w:val="24"/>
        </w:rPr>
      </w:pPr>
    </w:p>
    <w:sectPr w:rsidR="005631BA" w:rsidRPr="003C6842" w:rsidSect="00154F0E">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418" w:right="1418" w:bottom="1276"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2E" w:rsidRDefault="0008712E" w:rsidP="0008712E">
      <w:r>
        <w:separator/>
      </w:r>
    </w:p>
  </w:endnote>
  <w:endnote w:type="continuationSeparator" w:id="0">
    <w:p w:rsidR="0008712E" w:rsidRDefault="0008712E" w:rsidP="0008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tarSymbol">
    <w:altName w:val="MS Mincho"/>
    <w:charset w:val="80"/>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28" w:rsidRDefault="00786D91" w:rsidP="009A23B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32E28" w:rsidRDefault="008F05AE" w:rsidP="009A23B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28" w:rsidRDefault="008F05AE" w:rsidP="009A23B7">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28" w:rsidRDefault="008F05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2E" w:rsidRDefault="0008712E" w:rsidP="0008712E">
      <w:r>
        <w:separator/>
      </w:r>
    </w:p>
  </w:footnote>
  <w:footnote w:type="continuationSeparator" w:id="0">
    <w:p w:rsidR="0008712E" w:rsidRDefault="0008712E" w:rsidP="00087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28" w:rsidRDefault="008F05A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28" w:rsidRDefault="008F05A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28" w:rsidRDefault="008F05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325EF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68D7A9D"/>
    <w:multiLevelType w:val="hybridMultilevel"/>
    <w:tmpl w:val="5FEAFA1C"/>
    <w:lvl w:ilvl="0" w:tplc="424CDED6">
      <w:start w:val="13"/>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CB2C61"/>
    <w:multiLevelType w:val="hybridMultilevel"/>
    <w:tmpl w:val="EA1A830E"/>
    <w:lvl w:ilvl="0" w:tplc="27DC7A78">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536E21"/>
    <w:multiLevelType w:val="hybridMultilevel"/>
    <w:tmpl w:val="FD4841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2E0B25"/>
    <w:multiLevelType w:val="hybridMultilevel"/>
    <w:tmpl w:val="2C9A6AC2"/>
    <w:lvl w:ilvl="0" w:tplc="AFA6227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E25BAE"/>
    <w:multiLevelType w:val="hybridMultilevel"/>
    <w:tmpl w:val="CF1E3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6D55A8"/>
    <w:multiLevelType w:val="hybridMultilevel"/>
    <w:tmpl w:val="C6DA1C6E"/>
    <w:lvl w:ilvl="0" w:tplc="073CCD14">
      <w:start w:val="1"/>
      <w:numFmt w:val="bullet"/>
      <w:lvlText w:val=""/>
      <w:lvlJc w:val="left"/>
      <w:pPr>
        <w:tabs>
          <w:tab w:val="num" w:pos="720"/>
        </w:tabs>
        <w:ind w:left="720" w:hanging="360"/>
      </w:pPr>
      <w:rPr>
        <w:rFonts w:ascii="Wingdings" w:hAnsi="Wingdings" w:hint="default"/>
      </w:rPr>
    </w:lvl>
    <w:lvl w:ilvl="1" w:tplc="08645FF2" w:tentative="1">
      <w:start w:val="1"/>
      <w:numFmt w:val="bullet"/>
      <w:lvlText w:val=""/>
      <w:lvlJc w:val="left"/>
      <w:pPr>
        <w:tabs>
          <w:tab w:val="num" w:pos="1440"/>
        </w:tabs>
        <w:ind w:left="1440" w:hanging="360"/>
      </w:pPr>
      <w:rPr>
        <w:rFonts w:ascii="Wingdings" w:hAnsi="Wingdings" w:hint="default"/>
      </w:rPr>
    </w:lvl>
    <w:lvl w:ilvl="2" w:tplc="4C083918" w:tentative="1">
      <w:start w:val="1"/>
      <w:numFmt w:val="bullet"/>
      <w:lvlText w:val=""/>
      <w:lvlJc w:val="left"/>
      <w:pPr>
        <w:tabs>
          <w:tab w:val="num" w:pos="2160"/>
        </w:tabs>
        <w:ind w:left="2160" w:hanging="360"/>
      </w:pPr>
      <w:rPr>
        <w:rFonts w:ascii="Wingdings" w:hAnsi="Wingdings" w:hint="default"/>
      </w:rPr>
    </w:lvl>
    <w:lvl w:ilvl="3" w:tplc="D82A466E" w:tentative="1">
      <w:start w:val="1"/>
      <w:numFmt w:val="bullet"/>
      <w:lvlText w:val=""/>
      <w:lvlJc w:val="left"/>
      <w:pPr>
        <w:tabs>
          <w:tab w:val="num" w:pos="2880"/>
        </w:tabs>
        <w:ind w:left="2880" w:hanging="360"/>
      </w:pPr>
      <w:rPr>
        <w:rFonts w:ascii="Wingdings" w:hAnsi="Wingdings" w:hint="default"/>
      </w:rPr>
    </w:lvl>
    <w:lvl w:ilvl="4" w:tplc="78F25894" w:tentative="1">
      <w:start w:val="1"/>
      <w:numFmt w:val="bullet"/>
      <w:lvlText w:val=""/>
      <w:lvlJc w:val="left"/>
      <w:pPr>
        <w:tabs>
          <w:tab w:val="num" w:pos="3600"/>
        </w:tabs>
        <w:ind w:left="3600" w:hanging="360"/>
      </w:pPr>
      <w:rPr>
        <w:rFonts w:ascii="Wingdings" w:hAnsi="Wingdings" w:hint="default"/>
      </w:rPr>
    </w:lvl>
    <w:lvl w:ilvl="5" w:tplc="B24ED1EC" w:tentative="1">
      <w:start w:val="1"/>
      <w:numFmt w:val="bullet"/>
      <w:lvlText w:val=""/>
      <w:lvlJc w:val="left"/>
      <w:pPr>
        <w:tabs>
          <w:tab w:val="num" w:pos="4320"/>
        </w:tabs>
        <w:ind w:left="4320" w:hanging="360"/>
      </w:pPr>
      <w:rPr>
        <w:rFonts w:ascii="Wingdings" w:hAnsi="Wingdings" w:hint="default"/>
      </w:rPr>
    </w:lvl>
    <w:lvl w:ilvl="6" w:tplc="DF009EE2" w:tentative="1">
      <w:start w:val="1"/>
      <w:numFmt w:val="bullet"/>
      <w:lvlText w:val=""/>
      <w:lvlJc w:val="left"/>
      <w:pPr>
        <w:tabs>
          <w:tab w:val="num" w:pos="5040"/>
        </w:tabs>
        <w:ind w:left="5040" w:hanging="360"/>
      </w:pPr>
      <w:rPr>
        <w:rFonts w:ascii="Wingdings" w:hAnsi="Wingdings" w:hint="default"/>
      </w:rPr>
    </w:lvl>
    <w:lvl w:ilvl="7" w:tplc="D28CD996" w:tentative="1">
      <w:start w:val="1"/>
      <w:numFmt w:val="bullet"/>
      <w:lvlText w:val=""/>
      <w:lvlJc w:val="left"/>
      <w:pPr>
        <w:tabs>
          <w:tab w:val="num" w:pos="5760"/>
        </w:tabs>
        <w:ind w:left="5760" w:hanging="360"/>
      </w:pPr>
      <w:rPr>
        <w:rFonts w:ascii="Wingdings" w:hAnsi="Wingdings" w:hint="default"/>
      </w:rPr>
    </w:lvl>
    <w:lvl w:ilvl="8" w:tplc="CCDE008E" w:tentative="1">
      <w:start w:val="1"/>
      <w:numFmt w:val="bullet"/>
      <w:lvlText w:val=""/>
      <w:lvlJc w:val="left"/>
      <w:pPr>
        <w:tabs>
          <w:tab w:val="num" w:pos="6480"/>
        </w:tabs>
        <w:ind w:left="6480" w:hanging="360"/>
      </w:pPr>
      <w:rPr>
        <w:rFonts w:ascii="Wingdings" w:hAnsi="Wingdings" w:hint="default"/>
      </w:rPr>
    </w:lvl>
  </w:abstractNum>
  <w:abstractNum w:abstractNumId="8">
    <w:nsid w:val="3A633A48"/>
    <w:multiLevelType w:val="hybridMultilevel"/>
    <w:tmpl w:val="8ABA919A"/>
    <w:lvl w:ilvl="0" w:tplc="0E148B82">
      <w:start w:val="1"/>
      <w:numFmt w:val="bullet"/>
      <w:lvlText w:val=""/>
      <w:lvlJc w:val="left"/>
      <w:pPr>
        <w:tabs>
          <w:tab w:val="num" w:pos="720"/>
        </w:tabs>
        <w:ind w:left="720" w:hanging="360"/>
      </w:pPr>
      <w:rPr>
        <w:rFonts w:ascii="Wingdings" w:hAnsi="Wingdings" w:hint="default"/>
      </w:rPr>
    </w:lvl>
    <w:lvl w:ilvl="1" w:tplc="86E81AF8">
      <w:start w:val="2502"/>
      <w:numFmt w:val="bullet"/>
      <w:lvlText w:val="•"/>
      <w:lvlJc w:val="left"/>
      <w:pPr>
        <w:tabs>
          <w:tab w:val="num" w:pos="1440"/>
        </w:tabs>
        <w:ind w:left="1440" w:hanging="360"/>
      </w:pPr>
      <w:rPr>
        <w:rFonts w:ascii="Arial" w:hAnsi="Arial" w:hint="default"/>
      </w:rPr>
    </w:lvl>
    <w:lvl w:ilvl="2" w:tplc="F32EE408" w:tentative="1">
      <w:start w:val="1"/>
      <w:numFmt w:val="bullet"/>
      <w:lvlText w:val=""/>
      <w:lvlJc w:val="left"/>
      <w:pPr>
        <w:tabs>
          <w:tab w:val="num" w:pos="2160"/>
        </w:tabs>
        <w:ind w:left="2160" w:hanging="360"/>
      </w:pPr>
      <w:rPr>
        <w:rFonts w:ascii="Wingdings" w:hAnsi="Wingdings" w:hint="default"/>
      </w:rPr>
    </w:lvl>
    <w:lvl w:ilvl="3" w:tplc="95B4C1DE" w:tentative="1">
      <w:start w:val="1"/>
      <w:numFmt w:val="bullet"/>
      <w:lvlText w:val=""/>
      <w:lvlJc w:val="left"/>
      <w:pPr>
        <w:tabs>
          <w:tab w:val="num" w:pos="2880"/>
        </w:tabs>
        <w:ind w:left="2880" w:hanging="360"/>
      </w:pPr>
      <w:rPr>
        <w:rFonts w:ascii="Wingdings" w:hAnsi="Wingdings" w:hint="default"/>
      </w:rPr>
    </w:lvl>
    <w:lvl w:ilvl="4" w:tplc="EB32A08A" w:tentative="1">
      <w:start w:val="1"/>
      <w:numFmt w:val="bullet"/>
      <w:lvlText w:val=""/>
      <w:lvlJc w:val="left"/>
      <w:pPr>
        <w:tabs>
          <w:tab w:val="num" w:pos="3600"/>
        </w:tabs>
        <w:ind w:left="3600" w:hanging="360"/>
      </w:pPr>
      <w:rPr>
        <w:rFonts w:ascii="Wingdings" w:hAnsi="Wingdings" w:hint="default"/>
      </w:rPr>
    </w:lvl>
    <w:lvl w:ilvl="5" w:tplc="73C27D5C" w:tentative="1">
      <w:start w:val="1"/>
      <w:numFmt w:val="bullet"/>
      <w:lvlText w:val=""/>
      <w:lvlJc w:val="left"/>
      <w:pPr>
        <w:tabs>
          <w:tab w:val="num" w:pos="4320"/>
        </w:tabs>
        <w:ind w:left="4320" w:hanging="360"/>
      </w:pPr>
      <w:rPr>
        <w:rFonts w:ascii="Wingdings" w:hAnsi="Wingdings" w:hint="default"/>
      </w:rPr>
    </w:lvl>
    <w:lvl w:ilvl="6" w:tplc="937EABC0" w:tentative="1">
      <w:start w:val="1"/>
      <w:numFmt w:val="bullet"/>
      <w:lvlText w:val=""/>
      <w:lvlJc w:val="left"/>
      <w:pPr>
        <w:tabs>
          <w:tab w:val="num" w:pos="5040"/>
        </w:tabs>
        <w:ind w:left="5040" w:hanging="360"/>
      </w:pPr>
      <w:rPr>
        <w:rFonts w:ascii="Wingdings" w:hAnsi="Wingdings" w:hint="default"/>
      </w:rPr>
    </w:lvl>
    <w:lvl w:ilvl="7" w:tplc="84A4300E" w:tentative="1">
      <w:start w:val="1"/>
      <w:numFmt w:val="bullet"/>
      <w:lvlText w:val=""/>
      <w:lvlJc w:val="left"/>
      <w:pPr>
        <w:tabs>
          <w:tab w:val="num" w:pos="5760"/>
        </w:tabs>
        <w:ind w:left="5760" w:hanging="360"/>
      </w:pPr>
      <w:rPr>
        <w:rFonts w:ascii="Wingdings" w:hAnsi="Wingdings" w:hint="default"/>
      </w:rPr>
    </w:lvl>
    <w:lvl w:ilvl="8" w:tplc="FF6A3FAE" w:tentative="1">
      <w:start w:val="1"/>
      <w:numFmt w:val="bullet"/>
      <w:lvlText w:val=""/>
      <w:lvlJc w:val="left"/>
      <w:pPr>
        <w:tabs>
          <w:tab w:val="num" w:pos="6480"/>
        </w:tabs>
        <w:ind w:left="6480" w:hanging="360"/>
      </w:pPr>
      <w:rPr>
        <w:rFonts w:ascii="Wingdings" w:hAnsi="Wingdings" w:hint="default"/>
      </w:rPr>
    </w:lvl>
  </w:abstractNum>
  <w:abstractNum w:abstractNumId="9">
    <w:nsid w:val="4C813FB6"/>
    <w:multiLevelType w:val="hybridMultilevel"/>
    <w:tmpl w:val="68CA92AC"/>
    <w:lvl w:ilvl="0" w:tplc="9CD66314">
      <w:start w:val="186"/>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6016B7"/>
    <w:multiLevelType w:val="hybridMultilevel"/>
    <w:tmpl w:val="32344F0C"/>
    <w:lvl w:ilvl="0" w:tplc="10C4A5C8">
      <w:start w:val="1"/>
      <w:numFmt w:val="bullet"/>
      <w:lvlText w:val=""/>
      <w:lvlJc w:val="left"/>
      <w:pPr>
        <w:tabs>
          <w:tab w:val="num" w:pos="720"/>
        </w:tabs>
        <w:ind w:left="720" w:hanging="360"/>
      </w:pPr>
      <w:rPr>
        <w:rFonts w:ascii="Wingdings" w:hAnsi="Wingdings" w:hint="default"/>
      </w:rPr>
    </w:lvl>
    <w:lvl w:ilvl="1" w:tplc="5F70D1A4">
      <w:start w:val="1"/>
      <w:numFmt w:val="bullet"/>
      <w:lvlText w:val=""/>
      <w:lvlJc w:val="left"/>
      <w:pPr>
        <w:tabs>
          <w:tab w:val="num" w:pos="1440"/>
        </w:tabs>
        <w:ind w:left="1440" w:hanging="360"/>
      </w:pPr>
      <w:rPr>
        <w:rFonts w:ascii="Wingdings" w:hAnsi="Wingdings" w:hint="default"/>
      </w:rPr>
    </w:lvl>
    <w:lvl w:ilvl="2" w:tplc="1E88875E" w:tentative="1">
      <w:start w:val="1"/>
      <w:numFmt w:val="bullet"/>
      <w:lvlText w:val=""/>
      <w:lvlJc w:val="left"/>
      <w:pPr>
        <w:tabs>
          <w:tab w:val="num" w:pos="2160"/>
        </w:tabs>
        <w:ind w:left="2160" w:hanging="360"/>
      </w:pPr>
      <w:rPr>
        <w:rFonts w:ascii="Wingdings" w:hAnsi="Wingdings" w:hint="default"/>
      </w:rPr>
    </w:lvl>
    <w:lvl w:ilvl="3" w:tplc="8610B1C2" w:tentative="1">
      <w:start w:val="1"/>
      <w:numFmt w:val="bullet"/>
      <w:lvlText w:val=""/>
      <w:lvlJc w:val="left"/>
      <w:pPr>
        <w:tabs>
          <w:tab w:val="num" w:pos="2880"/>
        </w:tabs>
        <w:ind w:left="2880" w:hanging="360"/>
      </w:pPr>
      <w:rPr>
        <w:rFonts w:ascii="Wingdings" w:hAnsi="Wingdings" w:hint="default"/>
      </w:rPr>
    </w:lvl>
    <w:lvl w:ilvl="4" w:tplc="CE2E49C8" w:tentative="1">
      <w:start w:val="1"/>
      <w:numFmt w:val="bullet"/>
      <w:lvlText w:val=""/>
      <w:lvlJc w:val="left"/>
      <w:pPr>
        <w:tabs>
          <w:tab w:val="num" w:pos="3600"/>
        </w:tabs>
        <w:ind w:left="3600" w:hanging="360"/>
      </w:pPr>
      <w:rPr>
        <w:rFonts w:ascii="Wingdings" w:hAnsi="Wingdings" w:hint="default"/>
      </w:rPr>
    </w:lvl>
    <w:lvl w:ilvl="5" w:tplc="0C0204A6" w:tentative="1">
      <w:start w:val="1"/>
      <w:numFmt w:val="bullet"/>
      <w:lvlText w:val=""/>
      <w:lvlJc w:val="left"/>
      <w:pPr>
        <w:tabs>
          <w:tab w:val="num" w:pos="4320"/>
        </w:tabs>
        <w:ind w:left="4320" w:hanging="360"/>
      </w:pPr>
      <w:rPr>
        <w:rFonts w:ascii="Wingdings" w:hAnsi="Wingdings" w:hint="default"/>
      </w:rPr>
    </w:lvl>
    <w:lvl w:ilvl="6" w:tplc="8DC67A70" w:tentative="1">
      <w:start w:val="1"/>
      <w:numFmt w:val="bullet"/>
      <w:lvlText w:val=""/>
      <w:lvlJc w:val="left"/>
      <w:pPr>
        <w:tabs>
          <w:tab w:val="num" w:pos="5040"/>
        </w:tabs>
        <w:ind w:left="5040" w:hanging="360"/>
      </w:pPr>
      <w:rPr>
        <w:rFonts w:ascii="Wingdings" w:hAnsi="Wingdings" w:hint="default"/>
      </w:rPr>
    </w:lvl>
    <w:lvl w:ilvl="7" w:tplc="BF12B482" w:tentative="1">
      <w:start w:val="1"/>
      <w:numFmt w:val="bullet"/>
      <w:lvlText w:val=""/>
      <w:lvlJc w:val="left"/>
      <w:pPr>
        <w:tabs>
          <w:tab w:val="num" w:pos="5760"/>
        </w:tabs>
        <w:ind w:left="5760" w:hanging="360"/>
      </w:pPr>
      <w:rPr>
        <w:rFonts w:ascii="Wingdings" w:hAnsi="Wingdings" w:hint="default"/>
      </w:rPr>
    </w:lvl>
    <w:lvl w:ilvl="8" w:tplc="7D30262E" w:tentative="1">
      <w:start w:val="1"/>
      <w:numFmt w:val="bullet"/>
      <w:lvlText w:val=""/>
      <w:lvlJc w:val="left"/>
      <w:pPr>
        <w:tabs>
          <w:tab w:val="num" w:pos="6480"/>
        </w:tabs>
        <w:ind w:left="6480" w:hanging="360"/>
      </w:pPr>
      <w:rPr>
        <w:rFonts w:ascii="Wingdings" w:hAnsi="Wingdings" w:hint="default"/>
      </w:rPr>
    </w:lvl>
  </w:abstractNum>
  <w:abstractNum w:abstractNumId="11">
    <w:nsid w:val="601016FA"/>
    <w:multiLevelType w:val="hybridMultilevel"/>
    <w:tmpl w:val="3DD2231E"/>
    <w:lvl w:ilvl="0" w:tplc="573AC3A6">
      <w:start w:val="13"/>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821A2E"/>
    <w:multiLevelType w:val="hybridMultilevel"/>
    <w:tmpl w:val="01208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1C31898"/>
    <w:multiLevelType w:val="hybridMultilevel"/>
    <w:tmpl w:val="2D9AD520"/>
    <w:lvl w:ilvl="0" w:tplc="65529636">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503B7E"/>
    <w:multiLevelType w:val="hybridMultilevel"/>
    <w:tmpl w:val="42D428D2"/>
    <w:lvl w:ilvl="0" w:tplc="B14ADC94">
      <w:start w:val="1"/>
      <w:numFmt w:val="bullet"/>
      <w:lvlText w:val="•"/>
      <w:lvlJc w:val="left"/>
      <w:pPr>
        <w:tabs>
          <w:tab w:val="num" w:pos="720"/>
        </w:tabs>
        <w:ind w:left="720" w:hanging="360"/>
      </w:pPr>
      <w:rPr>
        <w:rFonts w:ascii="Arial" w:hAnsi="Arial" w:hint="default"/>
      </w:rPr>
    </w:lvl>
    <w:lvl w:ilvl="1" w:tplc="040C000D">
      <w:start w:val="1"/>
      <w:numFmt w:val="bullet"/>
      <w:lvlText w:val=""/>
      <w:lvlJc w:val="left"/>
      <w:pPr>
        <w:tabs>
          <w:tab w:val="num" w:pos="1440"/>
        </w:tabs>
        <w:ind w:left="1440" w:hanging="360"/>
      </w:pPr>
      <w:rPr>
        <w:rFonts w:ascii="Wingdings" w:hAnsi="Wingdings" w:hint="default"/>
      </w:rPr>
    </w:lvl>
    <w:lvl w:ilvl="2" w:tplc="37BA4518" w:tentative="1">
      <w:start w:val="1"/>
      <w:numFmt w:val="bullet"/>
      <w:lvlText w:val="•"/>
      <w:lvlJc w:val="left"/>
      <w:pPr>
        <w:tabs>
          <w:tab w:val="num" w:pos="2160"/>
        </w:tabs>
        <w:ind w:left="2160" w:hanging="360"/>
      </w:pPr>
      <w:rPr>
        <w:rFonts w:ascii="Arial" w:hAnsi="Arial" w:hint="default"/>
      </w:rPr>
    </w:lvl>
    <w:lvl w:ilvl="3" w:tplc="20C47FF8" w:tentative="1">
      <w:start w:val="1"/>
      <w:numFmt w:val="bullet"/>
      <w:lvlText w:val="•"/>
      <w:lvlJc w:val="left"/>
      <w:pPr>
        <w:tabs>
          <w:tab w:val="num" w:pos="2880"/>
        </w:tabs>
        <w:ind w:left="2880" w:hanging="360"/>
      </w:pPr>
      <w:rPr>
        <w:rFonts w:ascii="Arial" w:hAnsi="Arial" w:hint="default"/>
      </w:rPr>
    </w:lvl>
    <w:lvl w:ilvl="4" w:tplc="B1EC3EC4" w:tentative="1">
      <w:start w:val="1"/>
      <w:numFmt w:val="bullet"/>
      <w:lvlText w:val="•"/>
      <w:lvlJc w:val="left"/>
      <w:pPr>
        <w:tabs>
          <w:tab w:val="num" w:pos="3600"/>
        </w:tabs>
        <w:ind w:left="3600" w:hanging="360"/>
      </w:pPr>
      <w:rPr>
        <w:rFonts w:ascii="Arial" w:hAnsi="Arial" w:hint="default"/>
      </w:rPr>
    </w:lvl>
    <w:lvl w:ilvl="5" w:tplc="63F077B2" w:tentative="1">
      <w:start w:val="1"/>
      <w:numFmt w:val="bullet"/>
      <w:lvlText w:val="•"/>
      <w:lvlJc w:val="left"/>
      <w:pPr>
        <w:tabs>
          <w:tab w:val="num" w:pos="4320"/>
        </w:tabs>
        <w:ind w:left="4320" w:hanging="360"/>
      </w:pPr>
      <w:rPr>
        <w:rFonts w:ascii="Arial" w:hAnsi="Arial" w:hint="default"/>
      </w:rPr>
    </w:lvl>
    <w:lvl w:ilvl="6" w:tplc="46AA41AC" w:tentative="1">
      <w:start w:val="1"/>
      <w:numFmt w:val="bullet"/>
      <w:lvlText w:val="•"/>
      <w:lvlJc w:val="left"/>
      <w:pPr>
        <w:tabs>
          <w:tab w:val="num" w:pos="5040"/>
        </w:tabs>
        <w:ind w:left="5040" w:hanging="360"/>
      </w:pPr>
      <w:rPr>
        <w:rFonts w:ascii="Arial" w:hAnsi="Arial" w:hint="default"/>
      </w:rPr>
    </w:lvl>
    <w:lvl w:ilvl="7" w:tplc="B42EE2B2" w:tentative="1">
      <w:start w:val="1"/>
      <w:numFmt w:val="bullet"/>
      <w:lvlText w:val="•"/>
      <w:lvlJc w:val="left"/>
      <w:pPr>
        <w:tabs>
          <w:tab w:val="num" w:pos="5760"/>
        </w:tabs>
        <w:ind w:left="5760" w:hanging="360"/>
      </w:pPr>
      <w:rPr>
        <w:rFonts w:ascii="Arial" w:hAnsi="Arial" w:hint="default"/>
      </w:rPr>
    </w:lvl>
    <w:lvl w:ilvl="8" w:tplc="45DC94D2" w:tentative="1">
      <w:start w:val="1"/>
      <w:numFmt w:val="bullet"/>
      <w:lvlText w:val="•"/>
      <w:lvlJc w:val="left"/>
      <w:pPr>
        <w:tabs>
          <w:tab w:val="num" w:pos="6480"/>
        </w:tabs>
        <w:ind w:left="6480" w:hanging="360"/>
      </w:pPr>
      <w:rPr>
        <w:rFonts w:ascii="Arial" w:hAnsi="Arial" w:hint="default"/>
      </w:rPr>
    </w:lvl>
  </w:abstractNum>
  <w:abstractNum w:abstractNumId="15">
    <w:nsid w:val="790202E2"/>
    <w:multiLevelType w:val="hybridMultilevel"/>
    <w:tmpl w:val="C36EE5D2"/>
    <w:lvl w:ilvl="0" w:tplc="8064E892">
      <w:start w:val="1"/>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9007A9"/>
    <w:multiLevelType w:val="hybridMultilevel"/>
    <w:tmpl w:val="070A880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12"/>
  </w:num>
  <w:num w:numId="4">
    <w:abstractNumId w:val="10"/>
  </w:num>
  <w:num w:numId="5">
    <w:abstractNumId w:val="8"/>
  </w:num>
  <w:num w:numId="6">
    <w:abstractNumId w:val="14"/>
  </w:num>
  <w:num w:numId="7">
    <w:abstractNumId w:val="7"/>
  </w:num>
  <w:num w:numId="8">
    <w:abstractNumId w:val="16"/>
  </w:num>
  <w:num w:numId="9">
    <w:abstractNumId w:val="13"/>
  </w:num>
  <w:num w:numId="10">
    <w:abstractNumId w:val="2"/>
  </w:num>
  <w:num w:numId="11">
    <w:abstractNumId w:val="11"/>
  </w:num>
  <w:num w:numId="12">
    <w:abstractNumId w:val="4"/>
  </w:num>
  <w:num w:numId="13">
    <w:abstractNumId w:val="15"/>
  </w:num>
  <w:num w:numId="14">
    <w:abstractNumId w:val="5"/>
  </w:num>
  <w:num w:numId="15">
    <w:abstractNumId w:val="3"/>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D7"/>
    <w:rsid w:val="000128E3"/>
    <w:rsid w:val="000145E2"/>
    <w:rsid w:val="00014F07"/>
    <w:rsid w:val="000163D1"/>
    <w:rsid w:val="00016790"/>
    <w:rsid w:val="0003132B"/>
    <w:rsid w:val="00034786"/>
    <w:rsid w:val="00046668"/>
    <w:rsid w:val="000660A1"/>
    <w:rsid w:val="0008278A"/>
    <w:rsid w:val="00085508"/>
    <w:rsid w:val="00085782"/>
    <w:rsid w:val="0008712E"/>
    <w:rsid w:val="000905A1"/>
    <w:rsid w:val="00093488"/>
    <w:rsid w:val="000A3CF5"/>
    <w:rsid w:val="000B03E8"/>
    <w:rsid w:val="000B36BE"/>
    <w:rsid w:val="000B5286"/>
    <w:rsid w:val="000F4B3E"/>
    <w:rsid w:val="000F5F75"/>
    <w:rsid w:val="0010056E"/>
    <w:rsid w:val="00113FE0"/>
    <w:rsid w:val="00132880"/>
    <w:rsid w:val="00143D72"/>
    <w:rsid w:val="0015180D"/>
    <w:rsid w:val="00154F0E"/>
    <w:rsid w:val="00173B5D"/>
    <w:rsid w:val="00195063"/>
    <w:rsid w:val="001B666D"/>
    <w:rsid w:val="001D76B2"/>
    <w:rsid w:val="001E4D3A"/>
    <w:rsid w:val="001F064A"/>
    <w:rsid w:val="001F2203"/>
    <w:rsid w:val="001F3665"/>
    <w:rsid w:val="001F6B04"/>
    <w:rsid w:val="00201A6C"/>
    <w:rsid w:val="00226263"/>
    <w:rsid w:val="00245EA1"/>
    <w:rsid w:val="002757B0"/>
    <w:rsid w:val="00284E5E"/>
    <w:rsid w:val="0028656F"/>
    <w:rsid w:val="00290DB0"/>
    <w:rsid w:val="002A32FC"/>
    <w:rsid w:val="002C1232"/>
    <w:rsid w:val="002C4372"/>
    <w:rsid w:val="003018F1"/>
    <w:rsid w:val="0031683F"/>
    <w:rsid w:val="00326F23"/>
    <w:rsid w:val="0033042F"/>
    <w:rsid w:val="00341488"/>
    <w:rsid w:val="00344C98"/>
    <w:rsid w:val="00354A43"/>
    <w:rsid w:val="003727EF"/>
    <w:rsid w:val="00377523"/>
    <w:rsid w:val="00377A79"/>
    <w:rsid w:val="003B135C"/>
    <w:rsid w:val="003B1EAD"/>
    <w:rsid w:val="003C32F8"/>
    <w:rsid w:val="003C4F12"/>
    <w:rsid w:val="003C6842"/>
    <w:rsid w:val="003D1BAC"/>
    <w:rsid w:val="00403591"/>
    <w:rsid w:val="00403C2D"/>
    <w:rsid w:val="004074AF"/>
    <w:rsid w:val="00426AB6"/>
    <w:rsid w:val="00444840"/>
    <w:rsid w:val="004641E7"/>
    <w:rsid w:val="00465344"/>
    <w:rsid w:val="00466D2B"/>
    <w:rsid w:val="004817A4"/>
    <w:rsid w:val="0049166B"/>
    <w:rsid w:val="004A251E"/>
    <w:rsid w:val="004A61C1"/>
    <w:rsid w:val="004A647C"/>
    <w:rsid w:val="004B01D5"/>
    <w:rsid w:val="004B2D83"/>
    <w:rsid w:val="004B3D1E"/>
    <w:rsid w:val="004B5FF7"/>
    <w:rsid w:val="004C10D5"/>
    <w:rsid w:val="004D1D70"/>
    <w:rsid w:val="00505AB1"/>
    <w:rsid w:val="00510257"/>
    <w:rsid w:val="00537A5B"/>
    <w:rsid w:val="005501E1"/>
    <w:rsid w:val="00550DB4"/>
    <w:rsid w:val="005569EC"/>
    <w:rsid w:val="00556D4F"/>
    <w:rsid w:val="005631BA"/>
    <w:rsid w:val="00565795"/>
    <w:rsid w:val="005657AB"/>
    <w:rsid w:val="005761BB"/>
    <w:rsid w:val="00582248"/>
    <w:rsid w:val="00582F7E"/>
    <w:rsid w:val="00587858"/>
    <w:rsid w:val="005A4854"/>
    <w:rsid w:val="00620D8F"/>
    <w:rsid w:val="00624C45"/>
    <w:rsid w:val="0063031E"/>
    <w:rsid w:val="00645386"/>
    <w:rsid w:val="00645696"/>
    <w:rsid w:val="0066641D"/>
    <w:rsid w:val="00677935"/>
    <w:rsid w:val="006811E1"/>
    <w:rsid w:val="00682F0A"/>
    <w:rsid w:val="00686F6F"/>
    <w:rsid w:val="006A01BD"/>
    <w:rsid w:val="006C29BA"/>
    <w:rsid w:val="006E000B"/>
    <w:rsid w:val="007071B0"/>
    <w:rsid w:val="007317EE"/>
    <w:rsid w:val="0077047F"/>
    <w:rsid w:val="00771143"/>
    <w:rsid w:val="00776479"/>
    <w:rsid w:val="00786D91"/>
    <w:rsid w:val="007A646F"/>
    <w:rsid w:val="007C0528"/>
    <w:rsid w:val="007C62B7"/>
    <w:rsid w:val="007D6584"/>
    <w:rsid w:val="007D72A1"/>
    <w:rsid w:val="007E2AB1"/>
    <w:rsid w:val="00811BD1"/>
    <w:rsid w:val="00815326"/>
    <w:rsid w:val="00817472"/>
    <w:rsid w:val="00821DB9"/>
    <w:rsid w:val="0083006C"/>
    <w:rsid w:val="00856739"/>
    <w:rsid w:val="00871042"/>
    <w:rsid w:val="008C74B1"/>
    <w:rsid w:val="008E2DD5"/>
    <w:rsid w:val="008F05AE"/>
    <w:rsid w:val="008F4956"/>
    <w:rsid w:val="0090732C"/>
    <w:rsid w:val="00917C16"/>
    <w:rsid w:val="009228D7"/>
    <w:rsid w:val="009332B9"/>
    <w:rsid w:val="00952B0F"/>
    <w:rsid w:val="009540B8"/>
    <w:rsid w:val="00961E58"/>
    <w:rsid w:val="0096403C"/>
    <w:rsid w:val="00971EC9"/>
    <w:rsid w:val="00986C75"/>
    <w:rsid w:val="009B062B"/>
    <w:rsid w:val="009C3F22"/>
    <w:rsid w:val="009E2961"/>
    <w:rsid w:val="009F6576"/>
    <w:rsid w:val="00A106DF"/>
    <w:rsid w:val="00A16AF4"/>
    <w:rsid w:val="00A5132B"/>
    <w:rsid w:val="00A60AF0"/>
    <w:rsid w:val="00A91866"/>
    <w:rsid w:val="00AA7A5A"/>
    <w:rsid w:val="00AB5E9E"/>
    <w:rsid w:val="00AD71FF"/>
    <w:rsid w:val="00AE1901"/>
    <w:rsid w:val="00B06B01"/>
    <w:rsid w:val="00B13542"/>
    <w:rsid w:val="00B2317F"/>
    <w:rsid w:val="00B351A3"/>
    <w:rsid w:val="00B37F17"/>
    <w:rsid w:val="00B40B8A"/>
    <w:rsid w:val="00B4129A"/>
    <w:rsid w:val="00B46315"/>
    <w:rsid w:val="00B572F3"/>
    <w:rsid w:val="00B63DFF"/>
    <w:rsid w:val="00B64051"/>
    <w:rsid w:val="00B664A2"/>
    <w:rsid w:val="00B705C4"/>
    <w:rsid w:val="00B83632"/>
    <w:rsid w:val="00B91511"/>
    <w:rsid w:val="00BA4BA4"/>
    <w:rsid w:val="00C07CFE"/>
    <w:rsid w:val="00C150E4"/>
    <w:rsid w:val="00C46F44"/>
    <w:rsid w:val="00C54857"/>
    <w:rsid w:val="00C67B45"/>
    <w:rsid w:val="00C819A6"/>
    <w:rsid w:val="00C86EE6"/>
    <w:rsid w:val="00C95B71"/>
    <w:rsid w:val="00CD39C9"/>
    <w:rsid w:val="00CF20D5"/>
    <w:rsid w:val="00CF6D3E"/>
    <w:rsid w:val="00D32756"/>
    <w:rsid w:val="00D350FB"/>
    <w:rsid w:val="00D363F1"/>
    <w:rsid w:val="00D408DF"/>
    <w:rsid w:val="00D45D24"/>
    <w:rsid w:val="00D57B16"/>
    <w:rsid w:val="00D66956"/>
    <w:rsid w:val="00D72ABC"/>
    <w:rsid w:val="00D94CC8"/>
    <w:rsid w:val="00D957CB"/>
    <w:rsid w:val="00DA73FC"/>
    <w:rsid w:val="00DE1B76"/>
    <w:rsid w:val="00DF0A4E"/>
    <w:rsid w:val="00DF41CB"/>
    <w:rsid w:val="00E010CD"/>
    <w:rsid w:val="00E12976"/>
    <w:rsid w:val="00E61E2C"/>
    <w:rsid w:val="00E70D78"/>
    <w:rsid w:val="00E72E8C"/>
    <w:rsid w:val="00E914EE"/>
    <w:rsid w:val="00EA0285"/>
    <w:rsid w:val="00EA518A"/>
    <w:rsid w:val="00EB4119"/>
    <w:rsid w:val="00EC3BA9"/>
    <w:rsid w:val="00EE539E"/>
    <w:rsid w:val="00EF6408"/>
    <w:rsid w:val="00F0540B"/>
    <w:rsid w:val="00F250B4"/>
    <w:rsid w:val="00F279EA"/>
    <w:rsid w:val="00F30B27"/>
    <w:rsid w:val="00F356BF"/>
    <w:rsid w:val="00F81492"/>
    <w:rsid w:val="00F90A55"/>
    <w:rsid w:val="00F97B6D"/>
    <w:rsid w:val="00FC6620"/>
    <w:rsid w:val="00FD0421"/>
    <w:rsid w:val="00FE49A8"/>
    <w:rsid w:val="00FE7C1A"/>
    <w:rsid w:val="00FF0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Microsoft Sans Serif" w:hAnsi="Microsoft Sans Serif"/>
      <w:sz w:val="24"/>
      <w:lang w:eastAsia="ar-SA"/>
    </w:rPr>
  </w:style>
  <w:style w:type="paragraph" w:styleId="Titre1">
    <w:name w:val="heading 1"/>
    <w:basedOn w:val="Normal"/>
    <w:link w:val="Titre1Car"/>
    <w:uiPriority w:val="9"/>
    <w:qFormat/>
    <w:rsid w:val="000163D1"/>
    <w:pPr>
      <w:suppressAutoHyphens w:val="0"/>
      <w:spacing w:before="100" w:beforeAutospacing="1" w:after="100" w:afterAutospacing="1"/>
      <w:outlineLvl w:val="0"/>
    </w:pPr>
    <w:rPr>
      <w:rFonts w:ascii="Times New Roman" w:hAnsi="Times New Roman"/>
      <w:b/>
      <w:bCs/>
      <w:kern w:val="36"/>
      <w:sz w:val="48"/>
      <w:szCs w:val="48"/>
      <w:lang w:eastAsia="fr-FR"/>
    </w:rPr>
  </w:style>
  <w:style w:type="paragraph" w:styleId="Titre4">
    <w:name w:val="heading 4"/>
    <w:basedOn w:val="Normal"/>
    <w:next w:val="Normal"/>
    <w:link w:val="Titre4Car"/>
    <w:uiPriority w:val="9"/>
    <w:semiHidden/>
    <w:unhideWhenUsed/>
    <w:qFormat/>
    <w:rsid w:val="004A64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Book Antiqua" w:eastAsia="Times New Roman" w:hAnsi="Book Antiqua"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4z0">
    <w:name w:val="WW8Num4z0"/>
    <w:rPr>
      <w:rFonts w:ascii="Book Antiqua" w:eastAsia="Times New Roman" w:hAnsi="Book Antiqua"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Footlight MT Light" w:eastAsia="Times New Roman" w:hAnsi="Footlight MT Light"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Footlight MT Light" w:eastAsia="Times New Roman" w:hAnsi="Footlight MT Light"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Footlight MT Light" w:eastAsia="Times New Roman" w:hAnsi="Footlight MT Light"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1z0">
    <w:name w:val="WW8Num11z0"/>
    <w:rPr>
      <w:rFonts w:ascii="Footlight MT Light" w:eastAsia="Times New Roman" w:hAnsi="Footlight MT Light" w:cs="Times New Roman"/>
    </w:rPr>
  </w:style>
  <w:style w:type="character" w:customStyle="1" w:styleId="WW8Num11z1">
    <w:name w:val="WW8Num11z1"/>
    <w:rPr>
      <w:rFonts w:ascii="Book Antiqua" w:eastAsia="Times New Roman" w:hAnsi="Book Antiqua" w:cs="Times New Roman"/>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1z4">
    <w:name w:val="WW8Num11z4"/>
    <w:rPr>
      <w:rFonts w:ascii="Courier New" w:hAnsi="Courier New" w:cs="Courier New"/>
    </w:rPr>
  </w:style>
  <w:style w:type="character" w:customStyle="1" w:styleId="Policepardfaut1">
    <w:name w:val="Police par défaut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jc w:val="both"/>
    </w:pPr>
    <w:rPr>
      <w:rFonts w:ascii="Book Antiqua" w:hAnsi="Book Antiqua"/>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Listepuces1">
    <w:name w:val="Liste à puces1"/>
    <w:basedOn w:val="Normal"/>
  </w:style>
  <w:style w:type="paragraph" w:styleId="NormalWeb">
    <w:name w:val="Normal (Web)"/>
    <w:basedOn w:val="Normal"/>
    <w:uiPriority w:val="99"/>
    <w:pPr>
      <w:spacing w:before="100" w:after="100"/>
    </w:pPr>
    <w:rPr>
      <w:rFonts w:ascii="Times New Roman" w:hAnsi="Times New Roman"/>
      <w:szCs w:val="24"/>
    </w:rPr>
  </w:style>
  <w:style w:type="paragraph" w:customStyle="1" w:styleId="Corpsdetexte21">
    <w:name w:val="Corps de texte 21"/>
    <w:basedOn w:val="Normal"/>
    <w:pPr>
      <w:jc w:val="both"/>
    </w:pPr>
    <w:rPr>
      <w:rFonts w:ascii="Arial" w:hAnsi="Arial" w:cs="Arial"/>
    </w:rPr>
  </w:style>
  <w:style w:type="paragraph" w:styleId="Textedebulles">
    <w:name w:val="Balloon Text"/>
    <w:basedOn w:val="Normal"/>
    <w:link w:val="TextedebullesCar"/>
    <w:uiPriority w:val="99"/>
    <w:semiHidden/>
    <w:unhideWhenUsed/>
    <w:rsid w:val="00AE1901"/>
    <w:rPr>
      <w:rFonts w:ascii="Tahoma" w:hAnsi="Tahoma" w:cs="Tahoma"/>
      <w:sz w:val="16"/>
      <w:szCs w:val="16"/>
    </w:rPr>
  </w:style>
  <w:style w:type="character" w:customStyle="1" w:styleId="TextedebullesCar">
    <w:name w:val="Texte de bulles Car"/>
    <w:basedOn w:val="Policepardfaut"/>
    <w:link w:val="Textedebulles"/>
    <w:uiPriority w:val="99"/>
    <w:semiHidden/>
    <w:rsid w:val="00AE1901"/>
    <w:rPr>
      <w:rFonts w:ascii="Tahoma" w:hAnsi="Tahoma" w:cs="Tahoma"/>
      <w:sz w:val="16"/>
      <w:szCs w:val="16"/>
      <w:lang w:eastAsia="ar-SA"/>
    </w:rPr>
  </w:style>
  <w:style w:type="paragraph" w:styleId="Paragraphedeliste">
    <w:name w:val="List Paragraph"/>
    <w:basedOn w:val="Normal"/>
    <w:uiPriority w:val="34"/>
    <w:qFormat/>
    <w:rsid w:val="00B06B0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19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C46F44"/>
    <w:pPr>
      <w:spacing w:after="120"/>
      <w:ind w:left="283"/>
    </w:pPr>
  </w:style>
  <w:style w:type="character" w:customStyle="1" w:styleId="RetraitcorpsdetexteCar">
    <w:name w:val="Retrait corps de texte Car"/>
    <w:basedOn w:val="Policepardfaut"/>
    <w:link w:val="Retraitcorpsdetexte"/>
    <w:uiPriority w:val="99"/>
    <w:semiHidden/>
    <w:rsid w:val="00C46F44"/>
    <w:rPr>
      <w:rFonts w:ascii="Microsoft Sans Serif" w:hAnsi="Microsoft Sans Serif"/>
      <w:sz w:val="24"/>
      <w:lang w:eastAsia="ar-SA"/>
    </w:rPr>
  </w:style>
  <w:style w:type="paragraph" w:customStyle="1" w:styleId="Retraitcorpsdetexte1">
    <w:name w:val="Retrait corps de texte1"/>
    <w:basedOn w:val="Normal"/>
    <w:rsid w:val="00C46F44"/>
    <w:pPr>
      <w:suppressAutoHyphens w:val="0"/>
      <w:ind w:left="3969"/>
      <w:jc w:val="center"/>
    </w:pPr>
    <w:rPr>
      <w:rFonts w:ascii="Times New Roman" w:hAnsi="Times New Roman"/>
      <w:sz w:val="36"/>
      <w:lang w:eastAsia="fr-FR"/>
    </w:rPr>
  </w:style>
  <w:style w:type="paragraph" w:customStyle="1" w:styleId="Normal0">
    <w:name w:val="[Normal]"/>
    <w:rsid w:val="00173B5D"/>
    <w:pPr>
      <w:widowControl w:val="0"/>
    </w:pPr>
    <w:rPr>
      <w:rFonts w:ascii="Arial" w:eastAsia="Arial" w:hAnsi="Arial"/>
      <w:sz w:val="24"/>
    </w:rPr>
  </w:style>
  <w:style w:type="paragraph" w:customStyle="1" w:styleId="VuConsidrant">
    <w:name w:val="Vu.Considérant"/>
    <w:basedOn w:val="Normal"/>
    <w:rsid w:val="00EA518A"/>
    <w:pPr>
      <w:suppressAutoHyphens w:val="0"/>
      <w:autoSpaceDE w:val="0"/>
      <w:autoSpaceDN w:val="0"/>
      <w:spacing w:after="140"/>
      <w:jc w:val="both"/>
    </w:pPr>
    <w:rPr>
      <w:rFonts w:ascii="Arial" w:hAnsi="Arial" w:cs="Arial"/>
      <w:sz w:val="20"/>
      <w:lang w:eastAsia="fr-FR"/>
    </w:rPr>
  </w:style>
  <w:style w:type="character" w:styleId="lev">
    <w:name w:val="Strong"/>
    <w:qFormat/>
    <w:rsid w:val="00EA518A"/>
    <w:rPr>
      <w:b/>
      <w:bCs/>
    </w:rPr>
  </w:style>
  <w:style w:type="paragraph" w:styleId="Listepuces">
    <w:name w:val="List Bullet"/>
    <w:basedOn w:val="Normal"/>
    <w:uiPriority w:val="99"/>
    <w:unhideWhenUsed/>
    <w:rsid w:val="00C54857"/>
    <w:pPr>
      <w:numPr>
        <w:numId w:val="1"/>
      </w:numPr>
      <w:contextualSpacing/>
    </w:pPr>
  </w:style>
  <w:style w:type="character" w:customStyle="1" w:styleId="Titre1Car">
    <w:name w:val="Titre 1 Car"/>
    <w:basedOn w:val="Policepardfaut"/>
    <w:link w:val="Titre1"/>
    <w:uiPriority w:val="9"/>
    <w:rsid w:val="000163D1"/>
    <w:rPr>
      <w:b/>
      <w:bCs/>
      <w:kern w:val="36"/>
      <w:sz w:val="48"/>
      <w:szCs w:val="48"/>
    </w:rPr>
  </w:style>
  <w:style w:type="paragraph" w:customStyle="1" w:styleId="Style2">
    <w:name w:val="Style 2"/>
    <w:basedOn w:val="Normal"/>
    <w:uiPriority w:val="99"/>
    <w:rsid w:val="0003132B"/>
    <w:pPr>
      <w:widowControl w:val="0"/>
      <w:suppressAutoHyphens w:val="0"/>
      <w:autoSpaceDE w:val="0"/>
      <w:autoSpaceDN w:val="0"/>
      <w:spacing w:before="180" w:line="273" w:lineRule="auto"/>
      <w:ind w:left="144" w:right="72"/>
      <w:jc w:val="both"/>
    </w:pPr>
    <w:rPr>
      <w:rFonts w:ascii="Verdana" w:eastAsiaTheme="minorEastAsia" w:hAnsi="Verdana" w:cs="Verdana"/>
      <w:sz w:val="21"/>
      <w:szCs w:val="21"/>
      <w:lang w:eastAsia="fr-FR"/>
    </w:rPr>
  </w:style>
  <w:style w:type="character" w:customStyle="1" w:styleId="CharacterStyle1">
    <w:name w:val="Character Style 1"/>
    <w:uiPriority w:val="99"/>
    <w:rsid w:val="0003132B"/>
    <w:rPr>
      <w:rFonts w:ascii="Verdana" w:hAnsi="Verdana" w:cs="Verdana"/>
      <w:sz w:val="21"/>
      <w:szCs w:val="21"/>
    </w:rPr>
  </w:style>
  <w:style w:type="character" w:customStyle="1" w:styleId="Titre4Car">
    <w:name w:val="Titre 4 Car"/>
    <w:basedOn w:val="Policepardfaut"/>
    <w:link w:val="Titre4"/>
    <w:uiPriority w:val="9"/>
    <w:semiHidden/>
    <w:rsid w:val="004A647C"/>
    <w:rPr>
      <w:rFonts w:asciiTheme="majorHAnsi" w:eastAsiaTheme="majorEastAsia" w:hAnsiTheme="majorHAnsi" w:cstheme="majorBidi"/>
      <w:b/>
      <w:bCs/>
      <w:i/>
      <w:iCs/>
      <w:color w:val="4F81BD" w:themeColor="accent1"/>
      <w:sz w:val="24"/>
      <w:lang w:eastAsia="ar-SA"/>
    </w:rPr>
  </w:style>
  <w:style w:type="character" w:customStyle="1" w:styleId="apple-converted-space">
    <w:name w:val="apple-converted-space"/>
    <w:basedOn w:val="Policepardfaut"/>
    <w:rsid w:val="004A647C"/>
  </w:style>
  <w:style w:type="character" w:styleId="Lienhypertexte">
    <w:name w:val="Hyperlink"/>
    <w:basedOn w:val="Policepardfaut"/>
    <w:uiPriority w:val="99"/>
    <w:unhideWhenUsed/>
    <w:rsid w:val="004A647C"/>
    <w:rPr>
      <w:color w:val="0000FF"/>
      <w:u w:val="single"/>
    </w:rPr>
  </w:style>
  <w:style w:type="character" w:customStyle="1" w:styleId="CharacterStyle2">
    <w:name w:val="Character Style 2"/>
    <w:uiPriority w:val="99"/>
    <w:rsid w:val="000128E3"/>
    <w:rPr>
      <w:sz w:val="20"/>
    </w:rPr>
  </w:style>
  <w:style w:type="paragraph" w:customStyle="1" w:styleId="Style1">
    <w:name w:val="Style 1"/>
    <w:basedOn w:val="Normal"/>
    <w:uiPriority w:val="99"/>
    <w:rsid w:val="001F064A"/>
    <w:pPr>
      <w:widowControl w:val="0"/>
      <w:suppressAutoHyphens w:val="0"/>
      <w:autoSpaceDE w:val="0"/>
      <w:autoSpaceDN w:val="0"/>
      <w:adjustRightInd w:val="0"/>
    </w:pPr>
    <w:rPr>
      <w:rFonts w:ascii="Times New Roman" w:eastAsiaTheme="minorEastAsia" w:hAnsi="Times New Roman"/>
      <w:sz w:val="20"/>
      <w:lang w:eastAsia="fr-FR"/>
    </w:rPr>
  </w:style>
  <w:style w:type="paragraph" w:customStyle="1" w:styleId="Style3">
    <w:name w:val="Style 3"/>
    <w:basedOn w:val="Normal"/>
    <w:uiPriority w:val="99"/>
    <w:rsid w:val="001F064A"/>
    <w:pPr>
      <w:widowControl w:val="0"/>
      <w:suppressAutoHyphens w:val="0"/>
      <w:autoSpaceDE w:val="0"/>
      <w:autoSpaceDN w:val="0"/>
      <w:adjustRightInd w:val="0"/>
    </w:pPr>
    <w:rPr>
      <w:rFonts w:ascii="Arial" w:eastAsiaTheme="minorEastAsia" w:hAnsi="Arial" w:cs="Arial"/>
      <w:sz w:val="20"/>
      <w:lang w:eastAsia="fr-FR"/>
    </w:rPr>
  </w:style>
  <w:style w:type="paragraph" w:styleId="En-tte">
    <w:name w:val="header"/>
    <w:basedOn w:val="Normal"/>
    <w:link w:val="En-tteCar"/>
    <w:uiPriority w:val="99"/>
    <w:unhideWhenUsed/>
    <w:rsid w:val="0008712E"/>
    <w:pPr>
      <w:tabs>
        <w:tab w:val="center" w:pos="4536"/>
        <w:tab w:val="right" w:pos="9072"/>
      </w:tabs>
      <w:suppressAutoHyphens w:val="0"/>
    </w:pPr>
    <w:rPr>
      <w:rFonts w:asciiTheme="minorHAnsi" w:eastAsiaTheme="minorEastAsia" w:hAnsiTheme="minorHAnsi" w:cstheme="minorBidi"/>
      <w:szCs w:val="24"/>
      <w:lang w:eastAsia="fr-FR"/>
    </w:rPr>
  </w:style>
  <w:style w:type="character" w:customStyle="1" w:styleId="En-tteCar">
    <w:name w:val="En-tête Car"/>
    <w:basedOn w:val="Policepardfaut"/>
    <w:link w:val="En-tte"/>
    <w:uiPriority w:val="99"/>
    <w:rsid w:val="0008712E"/>
    <w:rPr>
      <w:rFonts w:asciiTheme="minorHAnsi" w:eastAsiaTheme="minorEastAsia" w:hAnsiTheme="minorHAnsi" w:cstheme="minorBidi"/>
      <w:sz w:val="24"/>
      <w:szCs w:val="24"/>
    </w:rPr>
  </w:style>
  <w:style w:type="paragraph" w:styleId="Pieddepage">
    <w:name w:val="footer"/>
    <w:basedOn w:val="Normal"/>
    <w:link w:val="PieddepageCar"/>
    <w:uiPriority w:val="99"/>
    <w:unhideWhenUsed/>
    <w:rsid w:val="0008712E"/>
    <w:pPr>
      <w:tabs>
        <w:tab w:val="center" w:pos="4536"/>
        <w:tab w:val="right" w:pos="9072"/>
      </w:tabs>
      <w:suppressAutoHyphens w:val="0"/>
    </w:pPr>
    <w:rPr>
      <w:rFonts w:asciiTheme="minorHAnsi" w:eastAsiaTheme="minorEastAsia" w:hAnsiTheme="minorHAnsi" w:cstheme="minorBidi"/>
      <w:szCs w:val="24"/>
      <w:lang w:eastAsia="fr-FR"/>
    </w:rPr>
  </w:style>
  <w:style w:type="character" w:customStyle="1" w:styleId="PieddepageCar">
    <w:name w:val="Pied de page Car"/>
    <w:basedOn w:val="Policepardfaut"/>
    <w:link w:val="Pieddepage"/>
    <w:uiPriority w:val="99"/>
    <w:rsid w:val="0008712E"/>
    <w:rPr>
      <w:rFonts w:asciiTheme="minorHAnsi" w:eastAsiaTheme="minorEastAsia" w:hAnsiTheme="minorHAnsi" w:cstheme="minorBidi"/>
      <w:sz w:val="24"/>
      <w:szCs w:val="24"/>
    </w:rPr>
  </w:style>
  <w:style w:type="character" w:styleId="Numrodepage">
    <w:name w:val="page number"/>
    <w:basedOn w:val="Policepardfaut"/>
    <w:uiPriority w:val="99"/>
    <w:semiHidden/>
    <w:unhideWhenUsed/>
    <w:rsid w:val="00087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Microsoft Sans Serif" w:hAnsi="Microsoft Sans Serif"/>
      <w:sz w:val="24"/>
      <w:lang w:eastAsia="ar-SA"/>
    </w:rPr>
  </w:style>
  <w:style w:type="paragraph" w:styleId="Titre1">
    <w:name w:val="heading 1"/>
    <w:basedOn w:val="Normal"/>
    <w:link w:val="Titre1Car"/>
    <w:uiPriority w:val="9"/>
    <w:qFormat/>
    <w:rsid w:val="000163D1"/>
    <w:pPr>
      <w:suppressAutoHyphens w:val="0"/>
      <w:spacing w:before="100" w:beforeAutospacing="1" w:after="100" w:afterAutospacing="1"/>
      <w:outlineLvl w:val="0"/>
    </w:pPr>
    <w:rPr>
      <w:rFonts w:ascii="Times New Roman" w:hAnsi="Times New Roman"/>
      <w:b/>
      <w:bCs/>
      <w:kern w:val="36"/>
      <w:sz w:val="48"/>
      <w:szCs w:val="48"/>
      <w:lang w:eastAsia="fr-FR"/>
    </w:rPr>
  </w:style>
  <w:style w:type="paragraph" w:styleId="Titre4">
    <w:name w:val="heading 4"/>
    <w:basedOn w:val="Normal"/>
    <w:next w:val="Normal"/>
    <w:link w:val="Titre4Car"/>
    <w:uiPriority w:val="9"/>
    <w:semiHidden/>
    <w:unhideWhenUsed/>
    <w:qFormat/>
    <w:rsid w:val="004A64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Book Antiqua" w:eastAsia="Times New Roman" w:hAnsi="Book Antiqua"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4z0">
    <w:name w:val="WW8Num4z0"/>
    <w:rPr>
      <w:rFonts w:ascii="Book Antiqua" w:eastAsia="Times New Roman" w:hAnsi="Book Antiqua"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Footlight MT Light" w:eastAsia="Times New Roman" w:hAnsi="Footlight MT Light"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Footlight MT Light" w:eastAsia="Times New Roman" w:hAnsi="Footlight MT Light"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Footlight MT Light" w:eastAsia="Times New Roman" w:hAnsi="Footlight MT Light"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1z0">
    <w:name w:val="WW8Num11z0"/>
    <w:rPr>
      <w:rFonts w:ascii="Footlight MT Light" w:eastAsia="Times New Roman" w:hAnsi="Footlight MT Light" w:cs="Times New Roman"/>
    </w:rPr>
  </w:style>
  <w:style w:type="character" w:customStyle="1" w:styleId="WW8Num11z1">
    <w:name w:val="WW8Num11z1"/>
    <w:rPr>
      <w:rFonts w:ascii="Book Antiqua" w:eastAsia="Times New Roman" w:hAnsi="Book Antiqua" w:cs="Times New Roman"/>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1z4">
    <w:name w:val="WW8Num11z4"/>
    <w:rPr>
      <w:rFonts w:ascii="Courier New" w:hAnsi="Courier New" w:cs="Courier New"/>
    </w:rPr>
  </w:style>
  <w:style w:type="character" w:customStyle="1" w:styleId="Policepardfaut1">
    <w:name w:val="Police par défaut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jc w:val="both"/>
    </w:pPr>
    <w:rPr>
      <w:rFonts w:ascii="Book Antiqua" w:hAnsi="Book Antiqua"/>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Listepuces1">
    <w:name w:val="Liste à puces1"/>
    <w:basedOn w:val="Normal"/>
  </w:style>
  <w:style w:type="paragraph" w:styleId="NormalWeb">
    <w:name w:val="Normal (Web)"/>
    <w:basedOn w:val="Normal"/>
    <w:uiPriority w:val="99"/>
    <w:pPr>
      <w:spacing w:before="100" w:after="100"/>
    </w:pPr>
    <w:rPr>
      <w:rFonts w:ascii="Times New Roman" w:hAnsi="Times New Roman"/>
      <w:szCs w:val="24"/>
    </w:rPr>
  </w:style>
  <w:style w:type="paragraph" w:customStyle="1" w:styleId="Corpsdetexte21">
    <w:name w:val="Corps de texte 21"/>
    <w:basedOn w:val="Normal"/>
    <w:pPr>
      <w:jc w:val="both"/>
    </w:pPr>
    <w:rPr>
      <w:rFonts w:ascii="Arial" w:hAnsi="Arial" w:cs="Arial"/>
    </w:rPr>
  </w:style>
  <w:style w:type="paragraph" w:styleId="Textedebulles">
    <w:name w:val="Balloon Text"/>
    <w:basedOn w:val="Normal"/>
    <w:link w:val="TextedebullesCar"/>
    <w:uiPriority w:val="99"/>
    <w:semiHidden/>
    <w:unhideWhenUsed/>
    <w:rsid w:val="00AE1901"/>
    <w:rPr>
      <w:rFonts w:ascii="Tahoma" w:hAnsi="Tahoma" w:cs="Tahoma"/>
      <w:sz w:val="16"/>
      <w:szCs w:val="16"/>
    </w:rPr>
  </w:style>
  <w:style w:type="character" w:customStyle="1" w:styleId="TextedebullesCar">
    <w:name w:val="Texte de bulles Car"/>
    <w:basedOn w:val="Policepardfaut"/>
    <w:link w:val="Textedebulles"/>
    <w:uiPriority w:val="99"/>
    <w:semiHidden/>
    <w:rsid w:val="00AE1901"/>
    <w:rPr>
      <w:rFonts w:ascii="Tahoma" w:hAnsi="Tahoma" w:cs="Tahoma"/>
      <w:sz w:val="16"/>
      <w:szCs w:val="16"/>
      <w:lang w:eastAsia="ar-SA"/>
    </w:rPr>
  </w:style>
  <w:style w:type="paragraph" w:styleId="Paragraphedeliste">
    <w:name w:val="List Paragraph"/>
    <w:basedOn w:val="Normal"/>
    <w:uiPriority w:val="34"/>
    <w:qFormat/>
    <w:rsid w:val="00B06B0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19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C46F44"/>
    <w:pPr>
      <w:spacing w:after="120"/>
      <w:ind w:left="283"/>
    </w:pPr>
  </w:style>
  <w:style w:type="character" w:customStyle="1" w:styleId="RetraitcorpsdetexteCar">
    <w:name w:val="Retrait corps de texte Car"/>
    <w:basedOn w:val="Policepardfaut"/>
    <w:link w:val="Retraitcorpsdetexte"/>
    <w:uiPriority w:val="99"/>
    <w:semiHidden/>
    <w:rsid w:val="00C46F44"/>
    <w:rPr>
      <w:rFonts w:ascii="Microsoft Sans Serif" w:hAnsi="Microsoft Sans Serif"/>
      <w:sz w:val="24"/>
      <w:lang w:eastAsia="ar-SA"/>
    </w:rPr>
  </w:style>
  <w:style w:type="paragraph" w:customStyle="1" w:styleId="Retraitcorpsdetexte1">
    <w:name w:val="Retrait corps de texte1"/>
    <w:basedOn w:val="Normal"/>
    <w:rsid w:val="00C46F44"/>
    <w:pPr>
      <w:suppressAutoHyphens w:val="0"/>
      <w:ind w:left="3969"/>
      <w:jc w:val="center"/>
    </w:pPr>
    <w:rPr>
      <w:rFonts w:ascii="Times New Roman" w:hAnsi="Times New Roman"/>
      <w:sz w:val="36"/>
      <w:lang w:eastAsia="fr-FR"/>
    </w:rPr>
  </w:style>
  <w:style w:type="paragraph" w:customStyle="1" w:styleId="Normal0">
    <w:name w:val="[Normal]"/>
    <w:rsid w:val="00173B5D"/>
    <w:pPr>
      <w:widowControl w:val="0"/>
    </w:pPr>
    <w:rPr>
      <w:rFonts w:ascii="Arial" w:eastAsia="Arial" w:hAnsi="Arial"/>
      <w:sz w:val="24"/>
    </w:rPr>
  </w:style>
  <w:style w:type="paragraph" w:customStyle="1" w:styleId="VuConsidrant">
    <w:name w:val="Vu.Considérant"/>
    <w:basedOn w:val="Normal"/>
    <w:rsid w:val="00EA518A"/>
    <w:pPr>
      <w:suppressAutoHyphens w:val="0"/>
      <w:autoSpaceDE w:val="0"/>
      <w:autoSpaceDN w:val="0"/>
      <w:spacing w:after="140"/>
      <w:jc w:val="both"/>
    </w:pPr>
    <w:rPr>
      <w:rFonts w:ascii="Arial" w:hAnsi="Arial" w:cs="Arial"/>
      <w:sz w:val="20"/>
      <w:lang w:eastAsia="fr-FR"/>
    </w:rPr>
  </w:style>
  <w:style w:type="character" w:styleId="lev">
    <w:name w:val="Strong"/>
    <w:qFormat/>
    <w:rsid w:val="00EA518A"/>
    <w:rPr>
      <w:b/>
      <w:bCs/>
    </w:rPr>
  </w:style>
  <w:style w:type="paragraph" w:styleId="Listepuces">
    <w:name w:val="List Bullet"/>
    <w:basedOn w:val="Normal"/>
    <w:uiPriority w:val="99"/>
    <w:unhideWhenUsed/>
    <w:rsid w:val="00C54857"/>
    <w:pPr>
      <w:numPr>
        <w:numId w:val="1"/>
      </w:numPr>
      <w:contextualSpacing/>
    </w:pPr>
  </w:style>
  <w:style w:type="character" w:customStyle="1" w:styleId="Titre1Car">
    <w:name w:val="Titre 1 Car"/>
    <w:basedOn w:val="Policepardfaut"/>
    <w:link w:val="Titre1"/>
    <w:uiPriority w:val="9"/>
    <w:rsid w:val="000163D1"/>
    <w:rPr>
      <w:b/>
      <w:bCs/>
      <w:kern w:val="36"/>
      <w:sz w:val="48"/>
      <w:szCs w:val="48"/>
    </w:rPr>
  </w:style>
  <w:style w:type="paragraph" w:customStyle="1" w:styleId="Style2">
    <w:name w:val="Style 2"/>
    <w:basedOn w:val="Normal"/>
    <w:uiPriority w:val="99"/>
    <w:rsid w:val="0003132B"/>
    <w:pPr>
      <w:widowControl w:val="0"/>
      <w:suppressAutoHyphens w:val="0"/>
      <w:autoSpaceDE w:val="0"/>
      <w:autoSpaceDN w:val="0"/>
      <w:spacing w:before="180" w:line="273" w:lineRule="auto"/>
      <w:ind w:left="144" w:right="72"/>
      <w:jc w:val="both"/>
    </w:pPr>
    <w:rPr>
      <w:rFonts w:ascii="Verdana" w:eastAsiaTheme="minorEastAsia" w:hAnsi="Verdana" w:cs="Verdana"/>
      <w:sz w:val="21"/>
      <w:szCs w:val="21"/>
      <w:lang w:eastAsia="fr-FR"/>
    </w:rPr>
  </w:style>
  <w:style w:type="character" w:customStyle="1" w:styleId="CharacterStyle1">
    <w:name w:val="Character Style 1"/>
    <w:uiPriority w:val="99"/>
    <w:rsid w:val="0003132B"/>
    <w:rPr>
      <w:rFonts w:ascii="Verdana" w:hAnsi="Verdana" w:cs="Verdana"/>
      <w:sz w:val="21"/>
      <w:szCs w:val="21"/>
    </w:rPr>
  </w:style>
  <w:style w:type="character" w:customStyle="1" w:styleId="Titre4Car">
    <w:name w:val="Titre 4 Car"/>
    <w:basedOn w:val="Policepardfaut"/>
    <w:link w:val="Titre4"/>
    <w:uiPriority w:val="9"/>
    <w:semiHidden/>
    <w:rsid w:val="004A647C"/>
    <w:rPr>
      <w:rFonts w:asciiTheme="majorHAnsi" w:eastAsiaTheme="majorEastAsia" w:hAnsiTheme="majorHAnsi" w:cstheme="majorBidi"/>
      <w:b/>
      <w:bCs/>
      <w:i/>
      <w:iCs/>
      <w:color w:val="4F81BD" w:themeColor="accent1"/>
      <w:sz w:val="24"/>
      <w:lang w:eastAsia="ar-SA"/>
    </w:rPr>
  </w:style>
  <w:style w:type="character" w:customStyle="1" w:styleId="apple-converted-space">
    <w:name w:val="apple-converted-space"/>
    <w:basedOn w:val="Policepardfaut"/>
    <w:rsid w:val="004A647C"/>
  </w:style>
  <w:style w:type="character" w:styleId="Lienhypertexte">
    <w:name w:val="Hyperlink"/>
    <w:basedOn w:val="Policepardfaut"/>
    <w:uiPriority w:val="99"/>
    <w:unhideWhenUsed/>
    <w:rsid w:val="004A647C"/>
    <w:rPr>
      <w:color w:val="0000FF"/>
      <w:u w:val="single"/>
    </w:rPr>
  </w:style>
  <w:style w:type="character" w:customStyle="1" w:styleId="CharacterStyle2">
    <w:name w:val="Character Style 2"/>
    <w:uiPriority w:val="99"/>
    <w:rsid w:val="000128E3"/>
    <w:rPr>
      <w:sz w:val="20"/>
    </w:rPr>
  </w:style>
  <w:style w:type="paragraph" w:customStyle="1" w:styleId="Style1">
    <w:name w:val="Style 1"/>
    <w:basedOn w:val="Normal"/>
    <w:uiPriority w:val="99"/>
    <w:rsid w:val="001F064A"/>
    <w:pPr>
      <w:widowControl w:val="0"/>
      <w:suppressAutoHyphens w:val="0"/>
      <w:autoSpaceDE w:val="0"/>
      <w:autoSpaceDN w:val="0"/>
      <w:adjustRightInd w:val="0"/>
    </w:pPr>
    <w:rPr>
      <w:rFonts w:ascii="Times New Roman" w:eastAsiaTheme="minorEastAsia" w:hAnsi="Times New Roman"/>
      <w:sz w:val="20"/>
      <w:lang w:eastAsia="fr-FR"/>
    </w:rPr>
  </w:style>
  <w:style w:type="paragraph" w:customStyle="1" w:styleId="Style3">
    <w:name w:val="Style 3"/>
    <w:basedOn w:val="Normal"/>
    <w:uiPriority w:val="99"/>
    <w:rsid w:val="001F064A"/>
    <w:pPr>
      <w:widowControl w:val="0"/>
      <w:suppressAutoHyphens w:val="0"/>
      <w:autoSpaceDE w:val="0"/>
      <w:autoSpaceDN w:val="0"/>
      <w:adjustRightInd w:val="0"/>
    </w:pPr>
    <w:rPr>
      <w:rFonts w:ascii="Arial" w:eastAsiaTheme="minorEastAsia" w:hAnsi="Arial" w:cs="Arial"/>
      <w:sz w:val="20"/>
      <w:lang w:eastAsia="fr-FR"/>
    </w:rPr>
  </w:style>
  <w:style w:type="paragraph" w:styleId="En-tte">
    <w:name w:val="header"/>
    <w:basedOn w:val="Normal"/>
    <w:link w:val="En-tteCar"/>
    <w:uiPriority w:val="99"/>
    <w:unhideWhenUsed/>
    <w:rsid w:val="0008712E"/>
    <w:pPr>
      <w:tabs>
        <w:tab w:val="center" w:pos="4536"/>
        <w:tab w:val="right" w:pos="9072"/>
      </w:tabs>
      <w:suppressAutoHyphens w:val="0"/>
    </w:pPr>
    <w:rPr>
      <w:rFonts w:asciiTheme="minorHAnsi" w:eastAsiaTheme="minorEastAsia" w:hAnsiTheme="minorHAnsi" w:cstheme="minorBidi"/>
      <w:szCs w:val="24"/>
      <w:lang w:eastAsia="fr-FR"/>
    </w:rPr>
  </w:style>
  <w:style w:type="character" w:customStyle="1" w:styleId="En-tteCar">
    <w:name w:val="En-tête Car"/>
    <w:basedOn w:val="Policepardfaut"/>
    <w:link w:val="En-tte"/>
    <w:uiPriority w:val="99"/>
    <w:rsid w:val="0008712E"/>
    <w:rPr>
      <w:rFonts w:asciiTheme="minorHAnsi" w:eastAsiaTheme="minorEastAsia" w:hAnsiTheme="minorHAnsi" w:cstheme="minorBidi"/>
      <w:sz w:val="24"/>
      <w:szCs w:val="24"/>
    </w:rPr>
  </w:style>
  <w:style w:type="paragraph" w:styleId="Pieddepage">
    <w:name w:val="footer"/>
    <w:basedOn w:val="Normal"/>
    <w:link w:val="PieddepageCar"/>
    <w:uiPriority w:val="99"/>
    <w:unhideWhenUsed/>
    <w:rsid w:val="0008712E"/>
    <w:pPr>
      <w:tabs>
        <w:tab w:val="center" w:pos="4536"/>
        <w:tab w:val="right" w:pos="9072"/>
      </w:tabs>
      <w:suppressAutoHyphens w:val="0"/>
    </w:pPr>
    <w:rPr>
      <w:rFonts w:asciiTheme="minorHAnsi" w:eastAsiaTheme="minorEastAsia" w:hAnsiTheme="minorHAnsi" w:cstheme="minorBidi"/>
      <w:szCs w:val="24"/>
      <w:lang w:eastAsia="fr-FR"/>
    </w:rPr>
  </w:style>
  <w:style w:type="character" w:customStyle="1" w:styleId="PieddepageCar">
    <w:name w:val="Pied de page Car"/>
    <w:basedOn w:val="Policepardfaut"/>
    <w:link w:val="Pieddepage"/>
    <w:uiPriority w:val="99"/>
    <w:rsid w:val="0008712E"/>
    <w:rPr>
      <w:rFonts w:asciiTheme="minorHAnsi" w:eastAsiaTheme="minorEastAsia" w:hAnsiTheme="minorHAnsi" w:cstheme="minorBidi"/>
      <w:sz w:val="24"/>
      <w:szCs w:val="24"/>
    </w:rPr>
  </w:style>
  <w:style w:type="character" w:styleId="Numrodepage">
    <w:name w:val="page number"/>
    <w:basedOn w:val="Policepardfaut"/>
    <w:uiPriority w:val="99"/>
    <w:semiHidden/>
    <w:unhideWhenUsed/>
    <w:rsid w:val="0008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442">
      <w:bodyDiv w:val="1"/>
      <w:marLeft w:val="0"/>
      <w:marRight w:val="0"/>
      <w:marTop w:val="0"/>
      <w:marBottom w:val="0"/>
      <w:divBdr>
        <w:top w:val="none" w:sz="0" w:space="0" w:color="auto"/>
        <w:left w:val="none" w:sz="0" w:space="0" w:color="auto"/>
        <w:bottom w:val="none" w:sz="0" w:space="0" w:color="auto"/>
        <w:right w:val="none" w:sz="0" w:space="0" w:color="auto"/>
      </w:divBdr>
    </w:div>
    <w:div w:id="129055547">
      <w:bodyDiv w:val="1"/>
      <w:marLeft w:val="0"/>
      <w:marRight w:val="0"/>
      <w:marTop w:val="0"/>
      <w:marBottom w:val="0"/>
      <w:divBdr>
        <w:top w:val="none" w:sz="0" w:space="0" w:color="auto"/>
        <w:left w:val="none" w:sz="0" w:space="0" w:color="auto"/>
        <w:bottom w:val="none" w:sz="0" w:space="0" w:color="auto"/>
        <w:right w:val="none" w:sz="0" w:space="0" w:color="auto"/>
      </w:divBdr>
    </w:div>
    <w:div w:id="174930782">
      <w:bodyDiv w:val="1"/>
      <w:marLeft w:val="0"/>
      <w:marRight w:val="0"/>
      <w:marTop w:val="0"/>
      <w:marBottom w:val="0"/>
      <w:divBdr>
        <w:top w:val="none" w:sz="0" w:space="0" w:color="auto"/>
        <w:left w:val="none" w:sz="0" w:space="0" w:color="auto"/>
        <w:bottom w:val="none" w:sz="0" w:space="0" w:color="auto"/>
        <w:right w:val="none" w:sz="0" w:space="0" w:color="auto"/>
      </w:divBdr>
      <w:divsChild>
        <w:div w:id="1322003194">
          <w:marLeft w:val="300"/>
          <w:marRight w:val="0"/>
          <w:marTop w:val="0"/>
          <w:marBottom w:val="0"/>
          <w:divBdr>
            <w:top w:val="none" w:sz="0" w:space="0" w:color="auto"/>
            <w:left w:val="none" w:sz="0" w:space="0" w:color="auto"/>
            <w:bottom w:val="none" w:sz="0" w:space="0" w:color="auto"/>
            <w:right w:val="none" w:sz="0" w:space="0" w:color="auto"/>
          </w:divBdr>
        </w:div>
        <w:div w:id="1480078940">
          <w:marLeft w:val="300"/>
          <w:marRight w:val="0"/>
          <w:marTop w:val="0"/>
          <w:marBottom w:val="0"/>
          <w:divBdr>
            <w:top w:val="none" w:sz="0" w:space="0" w:color="auto"/>
            <w:left w:val="none" w:sz="0" w:space="0" w:color="auto"/>
            <w:bottom w:val="none" w:sz="0" w:space="0" w:color="auto"/>
            <w:right w:val="none" w:sz="0" w:space="0" w:color="auto"/>
          </w:divBdr>
        </w:div>
      </w:divsChild>
    </w:div>
    <w:div w:id="175730811">
      <w:bodyDiv w:val="1"/>
      <w:marLeft w:val="0"/>
      <w:marRight w:val="0"/>
      <w:marTop w:val="0"/>
      <w:marBottom w:val="0"/>
      <w:divBdr>
        <w:top w:val="none" w:sz="0" w:space="0" w:color="auto"/>
        <w:left w:val="none" w:sz="0" w:space="0" w:color="auto"/>
        <w:bottom w:val="none" w:sz="0" w:space="0" w:color="auto"/>
        <w:right w:val="none" w:sz="0" w:space="0" w:color="auto"/>
      </w:divBdr>
    </w:div>
    <w:div w:id="179199223">
      <w:bodyDiv w:val="1"/>
      <w:marLeft w:val="0"/>
      <w:marRight w:val="0"/>
      <w:marTop w:val="0"/>
      <w:marBottom w:val="0"/>
      <w:divBdr>
        <w:top w:val="none" w:sz="0" w:space="0" w:color="auto"/>
        <w:left w:val="none" w:sz="0" w:space="0" w:color="auto"/>
        <w:bottom w:val="none" w:sz="0" w:space="0" w:color="auto"/>
        <w:right w:val="none" w:sz="0" w:space="0" w:color="auto"/>
      </w:divBdr>
    </w:div>
    <w:div w:id="293297184">
      <w:bodyDiv w:val="1"/>
      <w:marLeft w:val="0"/>
      <w:marRight w:val="0"/>
      <w:marTop w:val="0"/>
      <w:marBottom w:val="0"/>
      <w:divBdr>
        <w:top w:val="none" w:sz="0" w:space="0" w:color="auto"/>
        <w:left w:val="none" w:sz="0" w:space="0" w:color="auto"/>
        <w:bottom w:val="none" w:sz="0" w:space="0" w:color="auto"/>
        <w:right w:val="none" w:sz="0" w:space="0" w:color="auto"/>
      </w:divBdr>
    </w:div>
    <w:div w:id="303433319">
      <w:bodyDiv w:val="1"/>
      <w:marLeft w:val="0"/>
      <w:marRight w:val="0"/>
      <w:marTop w:val="0"/>
      <w:marBottom w:val="0"/>
      <w:divBdr>
        <w:top w:val="none" w:sz="0" w:space="0" w:color="auto"/>
        <w:left w:val="none" w:sz="0" w:space="0" w:color="auto"/>
        <w:bottom w:val="none" w:sz="0" w:space="0" w:color="auto"/>
        <w:right w:val="none" w:sz="0" w:space="0" w:color="auto"/>
      </w:divBdr>
    </w:div>
    <w:div w:id="303851481">
      <w:bodyDiv w:val="1"/>
      <w:marLeft w:val="0"/>
      <w:marRight w:val="0"/>
      <w:marTop w:val="0"/>
      <w:marBottom w:val="0"/>
      <w:divBdr>
        <w:top w:val="none" w:sz="0" w:space="0" w:color="auto"/>
        <w:left w:val="none" w:sz="0" w:space="0" w:color="auto"/>
        <w:bottom w:val="none" w:sz="0" w:space="0" w:color="auto"/>
        <w:right w:val="none" w:sz="0" w:space="0" w:color="auto"/>
      </w:divBdr>
    </w:div>
    <w:div w:id="308289801">
      <w:bodyDiv w:val="1"/>
      <w:marLeft w:val="0"/>
      <w:marRight w:val="0"/>
      <w:marTop w:val="0"/>
      <w:marBottom w:val="0"/>
      <w:divBdr>
        <w:top w:val="none" w:sz="0" w:space="0" w:color="auto"/>
        <w:left w:val="none" w:sz="0" w:space="0" w:color="auto"/>
        <w:bottom w:val="none" w:sz="0" w:space="0" w:color="auto"/>
        <w:right w:val="none" w:sz="0" w:space="0" w:color="auto"/>
      </w:divBdr>
    </w:div>
    <w:div w:id="352071582">
      <w:bodyDiv w:val="1"/>
      <w:marLeft w:val="0"/>
      <w:marRight w:val="0"/>
      <w:marTop w:val="0"/>
      <w:marBottom w:val="0"/>
      <w:divBdr>
        <w:top w:val="none" w:sz="0" w:space="0" w:color="auto"/>
        <w:left w:val="none" w:sz="0" w:space="0" w:color="auto"/>
        <w:bottom w:val="none" w:sz="0" w:space="0" w:color="auto"/>
        <w:right w:val="none" w:sz="0" w:space="0" w:color="auto"/>
      </w:divBdr>
    </w:div>
    <w:div w:id="403722474">
      <w:bodyDiv w:val="1"/>
      <w:marLeft w:val="0"/>
      <w:marRight w:val="0"/>
      <w:marTop w:val="0"/>
      <w:marBottom w:val="0"/>
      <w:divBdr>
        <w:top w:val="none" w:sz="0" w:space="0" w:color="auto"/>
        <w:left w:val="none" w:sz="0" w:space="0" w:color="auto"/>
        <w:bottom w:val="none" w:sz="0" w:space="0" w:color="auto"/>
        <w:right w:val="none" w:sz="0" w:space="0" w:color="auto"/>
      </w:divBdr>
    </w:div>
    <w:div w:id="427507119">
      <w:bodyDiv w:val="1"/>
      <w:marLeft w:val="0"/>
      <w:marRight w:val="0"/>
      <w:marTop w:val="0"/>
      <w:marBottom w:val="0"/>
      <w:divBdr>
        <w:top w:val="none" w:sz="0" w:space="0" w:color="auto"/>
        <w:left w:val="none" w:sz="0" w:space="0" w:color="auto"/>
        <w:bottom w:val="none" w:sz="0" w:space="0" w:color="auto"/>
        <w:right w:val="none" w:sz="0" w:space="0" w:color="auto"/>
      </w:divBdr>
    </w:div>
    <w:div w:id="449011406">
      <w:bodyDiv w:val="1"/>
      <w:marLeft w:val="0"/>
      <w:marRight w:val="0"/>
      <w:marTop w:val="0"/>
      <w:marBottom w:val="0"/>
      <w:divBdr>
        <w:top w:val="none" w:sz="0" w:space="0" w:color="auto"/>
        <w:left w:val="none" w:sz="0" w:space="0" w:color="auto"/>
        <w:bottom w:val="none" w:sz="0" w:space="0" w:color="auto"/>
        <w:right w:val="none" w:sz="0" w:space="0" w:color="auto"/>
      </w:divBdr>
    </w:div>
    <w:div w:id="465465850">
      <w:bodyDiv w:val="1"/>
      <w:marLeft w:val="0"/>
      <w:marRight w:val="0"/>
      <w:marTop w:val="0"/>
      <w:marBottom w:val="0"/>
      <w:divBdr>
        <w:top w:val="none" w:sz="0" w:space="0" w:color="auto"/>
        <w:left w:val="none" w:sz="0" w:space="0" w:color="auto"/>
        <w:bottom w:val="none" w:sz="0" w:space="0" w:color="auto"/>
        <w:right w:val="none" w:sz="0" w:space="0" w:color="auto"/>
      </w:divBdr>
    </w:div>
    <w:div w:id="539519199">
      <w:bodyDiv w:val="1"/>
      <w:marLeft w:val="0"/>
      <w:marRight w:val="0"/>
      <w:marTop w:val="0"/>
      <w:marBottom w:val="0"/>
      <w:divBdr>
        <w:top w:val="none" w:sz="0" w:space="0" w:color="auto"/>
        <w:left w:val="none" w:sz="0" w:space="0" w:color="auto"/>
        <w:bottom w:val="none" w:sz="0" w:space="0" w:color="auto"/>
        <w:right w:val="none" w:sz="0" w:space="0" w:color="auto"/>
      </w:divBdr>
    </w:div>
    <w:div w:id="649941228">
      <w:bodyDiv w:val="1"/>
      <w:marLeft w:val="0"/>
      <w:marRight w:val="0"/>
      <w:marTop w:val="0"/>
      <w:marBottom w:val="0"/>
      <w:divBdr>
        <w:top w:val="none" w:sz="0" w:space="0" w:color="auto"/>
        <w:left w:val="none" w:sz="0" w:space="0" w:color="auto"/>
        <w:bottom w:val="none" w:sz="0" w:space="0" w:color="auto"/>
        <w:right w:val="none" w:sz="0" w:space="0" w:color="auto"/>
      </w:divBdr>
    </w:div>
    <w:div w:id="718212100">
      <w:bodyDiv w:val="1"/>
      <w:marLeft w:val="0"/>
      <w:marRight w:val="0"/>
      <w:marTop w:val="0"/>
      <w:marBottom w:val="0"/>
      <w:divBdr>
        <w:top w:val="none" w:sz="0" w:space="0" w:color="auto"/>
        <w:left w:val="none" w:sz="0" w:space="0" w:color="auto"/>
        <w:bottom w:val="none" w:sz="0" w:space="0" w:color="auto"/>
        <w:right w:val="none" w:sz="0" w:space="0" w:color="auto"/>
      </w:divBdr>
    </w:div>
    <w:div w:id="720634352">
      <w:bodyDiv w:val="1"/>
      <w:marLeft w:val="0"/>
      <w:marRight w:val="0"/>
      <w:marTop w:val="0"/>
      <w:marBottom w:val="0"/>
      <w:divBdr>
        <w:top w:val="none" w:sz="0" w:space="0" w:color="auto"/>
        <w:left w:val="none" w:sz="0" w:space="0" w:color="auto"/>
        <w:bottom w:val="none" w:sz="0" w:space="0" w:color="auto"/>
        <w:right w:val="none" w:sz="0" w:space="0" w:color="auto"/>
      </w:divBdr>
    </w:div>
    <w:div w:id="789131989">
      <w:bodyDiv w:val="1"/>
      <w:marLeft w:val="0"/>
      <w:marRight w:val="0"/>
      <w:marTop w:val="0"/>
      <w:marBottom w:val="0"/>
      <w:divBdr>
        <w:top w:val="none" w:sz="0" w:space="0" w:color="auto"/>
        <w:left w:val="none" w:sz="0" w:space="0" w:color="auto"/>
        <w:bottom w:val="none" w:sz="0" w:space="0" w:color="auto"/>
        <w:right w:val="none" w:sz="0" w:space="0" w:color="auto"/>
      </w:divBdr>
    </w:div>
    <w:div w:id="907811493">
      <w:bodyDiv w:val="1"/>
      <w:marLeft w:val="0"/>
      <w:marRight w:val="0"/>
      <w:marTop w:val="0"/>
      <w:marBottom w:val="0"/>
      <w:divBdr>
        <w:top w:val="none" w:sz="0" w:space="0" w:color="auto"/>
        <w:left w:val="none" w:sz="0" w:space="0" w:color="auto"/>
        <w:bottom w:val="none" w:sz="0" w:space="0" w:color="auto"/>
        <w:right w:val="none" w:sz="0" w:space="0" w:color="auto"/>
      </w:divBdr>
    </w:div>
    <w:div w:id="960496123">
      <w:bodyDiv w:val="1"/>
      <w:marLeft w:val="0"/>
      <w:marRight w:val="0"/>
      <w:marTop w:val="0"/>
      <w:marBottom w:val="0"/>
      <w:divBdr>
        <w:top w:val="none" w:sz="0" w:space="0" w:color="auto"/>
        <w:left w:val="none" w:sz="0" w:space="0" w:color="auto"/>
        <w:bottom w:val="none" w:sz="0" w:space="0" w:color="auto"/>
        <w:right w:val="none" w:sz="0" w:space="0" w:color="auto"/>
      </w:divBdr>
    </w:div>
    <w:div w:id="1152479388">
      <w:bodyDiv w:val="1"/>
      <w:marLeft w:val="0"/>
      <w:marRight w:val="0"/>
      <w:marTop w:val="0"/>
      <w:marBottom w:val="0"/>
      <w:divBdr>
        <w:top w:val="none" w:sz="0" w:space="0" w:color="auto"/>
        <w:left w:val="none" w:sz="0" w:space="0" w:color="auto"/>
        <w:bottom w:val="none" w:sz="0" w:space="0" w:color="auto"/>
        <w:right w:val="none" w:sz="0" w:space="0" w:color="auto"/>
      </w:divBdr>
    </w:div>
    <w:div w:id="1177497430">
      <w:bodyDiv w:val="1"/>
      <w:marLeft w:val="0"/>
      <w:marRight w:val="0"/>
      <w:marTop w:val="0"/>
      <w:marBottom w:val="0"/>
      <w:divBdr>
        <w:top w:val="none" w:sz="0" w:space="0" w:color="auto"/>
        <w:left w:val="none" w:sz="0" w:space="0" w:color="auto"/>
        <w:bottom w:val="none" w:sz="0" w:space="0" w:color="auto"/>
        <w:right w:val="none" w:sz="0" w:space="0" w:color="auto"/>
      </w:divBdr>
    </w:div>
    <w:div w:id="1242525736">
      <w:bodyDiv w:val="1"/>
      <w:marLeft w:val="0"/>
      <w:marRight w:val="0"/>
      <w:marTop w:val="0"/>
      <w:marBottom w:val="0"/>
      <w:divBdr>
        <w:top w:val="none" w:sz="0" w:space="0" w:color="auto"/>
        <w:left w:val="none" w:sz="0" w:space="0" w:color="auto"/>
        <w:bottom w:val="none" w:sz="0" w:space="0" w:color="auto"/>
        <w:right w:val="none" w:sz="0" w:space="0" w:color="auto"/>
      </w:divBdr>
    </w:div>
    <w:div w:id="1245795668">
      <w:bodyDiv w:val="1"/>
      <w:marLeft w:val="0"/>
      <w:marRight w:val="0"/>
      <w:marTop w:val="0"/>
      <w:marBottom w:val="0"/>
      <w:divBdr>
        <w:top w:val="none" w:sz="0" w:space="0" w:color="auto"/>
        <w:left w:val="none" w:sz="0" w:space="0" w:color="auto"/>
        <w:bottom w:val="none" w:sz="0" w:space="0" w:color="auto"/>
        <w:right w:val="none" w:sz="0" w:space="0" w:color="auto"/>
      </w:divBdr>
    </w:div>
    <w:div w:id="1261835656">
      <w:bodyDiv w:val="1"/>
      <w:marLeft w:val="0"/>
      <w:marRight w:val="0"/>
      <w:marTop w:val="0"/>
      <w:marBottom w:val="0"/>
      <w:divBdr>
        <w:top w:val="none" w:sz="0" w:space="0" w:color="auto"/>
        <w:left w:val="none" w:sz="0" w:space="0" w:color="auto"/>
        <w:bottom w:val="none" w:sz="0" w:space="0" w:color="auto"/>
        <w:right w:val="none" w:sz="0" w:space="0" w:color="auto"/>
      </w:divBdr>
    </w:div>
    <w:div w:id="1263958466">
      <w:bodyDiv w:val="1"/>
      <w:marLeft w:val="0"/>
      <w:marRight w:val="0"/>
      <w:marTop w:val="0"/>
      <w:marBottom w:val="0"/>
      <w:divBdr>
        <w:top w:val="none" w:sz="0" w:space="0" w:color="auto"/>
        <w:left w:val="none" w:sz="0" w:space="0" w:color="auto"/>
        <w:bottom w:val="none" w:sz="0" w:space="0" w:color="auto"/>
        <w:right w:val="none" w:sz="0" w:space="0" w:color="auto"/>
      </w:divBdr>
    </w:div>
    <w:div w:id="1312560667">
      <w:bodyDiv w:val="1"/>
      <w:marLeft w:val="0"/>
      <w:marRight w:val="0"/>
      <w:marTop w:val="0"/>
      <w:marBottom w:val="0"/>
      <w:divBdr>
        <w:top w:val="none" w:sz="0" w:space="0" w:color="auto"/>
        <w:left w:val="none" w:sz="0" w:space="0" w:color="auto"/>
        <w:bottom w:val="none" w:sz="0" w:space="0" w:color="auto"/>
        <w:right w:val="none" w:sz="0" w:space="0" w:color="auto"/>
      </w:divBdr>
    </w:div>
    <w:div w:id="1336034558">
      <w:bodyDiv w:val="1"/>
      <w:marLeft w:val="0"/>
      <w:marRight w:val="0"/>
      <w:marTop w:val="0"/>
      <w:marBottom w:val="0"/>
      <w:divBdr>
        <w:top w:val="none" w:sz="0" w:space="0" w:color="auto"/>
        <w:left w:val="none" w:sz="0" w:space="0" w:color="auto"/>
        <w:bottom w:val="none" w:sz="0" w:space="0" w:color="auto"/>
        <w:right w:val="none" w:sz="0" w:space="0" w:color="auto"/>
      </w:divBdr>
    </w:div>
    <w:div w:id="1340503776">
      <w:bodyDiv w:val="1"/>
      <w:marLeft w:val="0"/>
      <w:marRight w:val="0"/>
      <w:marTop w:val="0"/>
      <w:marBottom w:val="0"/>
      <w:divBdr>
        <w:top w:val="none" w:sz="0" w:space="0" w:color="auto"/>
        <w:left w:val="none" w:sz="0" w:space="0" w:color="auto"/>
        <w:bottom w:val="none" w:sz="0" w:space="0" w:color="auto"/>
        <w:right w:val="none" w:sz="0" w:space="0" w:color="auto"/>
      </w:divBdr>
    </w:div>
    <w:div w:id="1356928681">
      <w:bodyDiv w:val="1"/>
      <w:marLeft w:val="0"/>
      <w:marRight w:val="0"/>
      <w:marTop w:val="0"/>
      <w:marBottom w:val="0"/>
      <w:divBdr>
        <w:top w:val="none" w:sz="0" w:space="0" w:color="auto"/>
        <w:left w:val="none" w:sz="0" w:space="0" w:color="auto"/>
        <w:bottom w:val="none" w:sz="0" w:space="0" w:color="auto"/>
        <w:right w:val="none" w:sz="0" w:space="0" w:color="auto"/>
      </w:divBdr>
    </w:div>
    <w:div w:id="1370836979">
      <w:bodyDiv w:val="1"/>
      <w:marLeft w:val="0"/>
      <w:marRight w:val="0"/>
      <w:marTop w:val="0"/>
      <w:marBottom w:val="0"/>
      <w:divBdr>
        <w:top w:val="none" w:sz="0" w:space="0" w:color="auto"/>
        <w:left w:val="none" w:sz="0" w:space="0" w:color="auto"/>
        <w:bottom w:val="none" w:sz="0" w:space="0" w:color="auto"/>
        <w:right w:val="none" w:sz="0" w:space="0" w:color="auto"/>
      </w:divBdr>
    </w:div>
    <w:div w:id="1429229879">
      <w:bodyDiv w:val="1"/>
      <w:marLeft w:val="0"/>
      <w:marRight w:val="0"/>
      <w:marTop w:val="0"/>
      <w:marBottom w:val="0"/>
      <w:divBdr>
        <w:top w:val="none" w:sz="0" w:space="0" w:color="auto"/>
        <w:left w:val="none" w:sz="0" w:space="0" w:color="auto"/>
        <w:bottom w:val="none" w:sz="0" w:space="0" w:color="auto"/>
        <w:right w:val="none" w:sz="0" w:space="0" w:color="auto"/>
      </w:divBdr>
    </w:div>
    <w:div w:id="1464084199">
      <w:bodyDiv w:val="1"/>
      <w:marLeft w:val="0"/>
      <w:marRight w:val="0"/>
      <w:marTop w:val="0"/>
      <w:marBottom w:val="0"/>
      <w:divBdr>
        <w:top w:val="none" w:sz="0" w:space="0" w:color="auto"/>
        <w:left w:val="none" w:sz="0" w:space="0" w:color="auto"/>
        <w:bottom w:val="none" w:sz="0" w:space="0" w:color="auto"/>
        <w:right w:val="none" w:sz="0" w:space="0" w:color="auto"/>
      </w:divBdr>
    </w:div>
    <w:div w:id="1512447580">
      <w:bodyDiv w:val="1"/>
      <w:marLeft w:val="0"/>
      <w:marRight w:val="0"/>
      <w:marTop w:val="0"/>
      <w:marBottom w:val="0"/>
      <w:divBdr>
        <w:top w:val="none" w:sz="0" w:space="0" w:color="auto"/>
        <w:left w:val="none" w:sz="0" w:space="0" w:color="auto"/>
        <w:bottom w:val="none" w:sz="0" w:space="0" w:color="auto"/>
        <w:right w:val="none" w:sz="0" w:space="0" w:color="auto"/>
      </w:divBdr>
    </w:div>
    <w:div w:id="1525706016">
      <w:bodyDiv w:val="1"/>
      <w:marLeft w:val="0"/>
      <w:marRight w:val="0"/>
      <w:marTop w:val="0"/>
      <w:marBottom w:val="0"/>
      <w:divBdr>
        <w:top w:val="none" w:sz="0" w:space="0" w:color="auto"/>
        <w:left w:val="none" w:sz="0" w:space="0" w:color="auto"/>
        <w:bottom w:val="none" w:sz="0" w:space="0" w:color="auto"/>
        <w:right w:val="none" w:sz="0" w:space="0" w:color="auto"/>
      </w:divBdr>
    </w:div>
    <w:div w:id="1545167505">
      <w:bodyDiv w:val="1"/>
      <w:marLeft w:val="0"/>
      <w:marRight w:val="0"/>
      <w:marTop w:val="0"/>
      <w:marBottom w:val="0"/>
      <w:divBdr>
        <w:top w:val="none" w:sz="0" w:space="0" w:color="auto"/>
        <w:left w:val="none" w:sz="0" w:space="0" w:color="auto"/>
        <w:bottom w:val="none" w:sz="0" w:space="0" w:color="auto"/>
        <w:right w:val="none" w:sz="0" w:space="0" w:color="auto"/>
      </w:divBdr>
    </w:div>
    <w:div w:id="1686634727">
      <w:bodyDiv w:val="1"/>
      <w:marLeft w:val="0"/>
      <w:marRight w:val="0"/>
      <w:marTop w:val="0"/>
      <w:marBottom w:val="0"/>
      <w:divBdr>
        <w:top w:val="none" w:sz="0" w:space="0" w:color="auto"/>
        <w:left w:val="none" w:sz="0" w:space="0" w:color="auto"/>
        <w:bottom w:val="none" w:sz="0" w:space="0" w:color="auto"/>
        <w:right w:val="none" w:sz="0" w:space="0" w:color="auto"/>
      </w:divBdr>
    </w:div>
    <w:div w:id="1727993194">
      <w:bodyDiv w:val="1"/>
      <w:marLeft w:val="0"/>
      <w:marRight w:val="0"/>
      <w:marTop w:val="0"/>
      <w:marBottom w:val="0"/>
      <w:divBdr>
        <w:top w:val="none" w:sz="0" w:space="0" w:color="auto"/>
        <w:left w:val="none" w:sz="0" w:space="0" w:color="auto"/>
        <w:bottom w:val="none" w:sz="0" w:space="0" w:color="auto"/>
        <w:right w:val="none" w:sz="0" w:space="0" w:color="auto"/>
      </w:divBdr>
    </w:div>
    <w:div w:id="1753235566">
      <w:bodyDiv w:val="1"/>
      <w:marLeft w:val="0"/>
      <w:marRight w:val="0"/>
      <w:marTop w:val="0"/>
      <w:marBottom w:val="0"/>
      <w:divBdr>
        <w:top w:val="none" w:sz="0" w:space="0" w:color="auto"/>
        <w:left w:val="none" w:sz="0" w:space="0" w:color="auto"/>
        <w:bottom w:val="none" w:sz="0" w:space="0" w:color="auto"/>
        <w:right w:val="none" w:sz="0" w:space="0" w:color="auto"/>
      </w:divBdr>
    </w:div>
    <w:div w:id="2063483972">
      <w:bodyDiv w:val="1"/>
      <w:marLeft w:val="0"/>
      <w:marRight w:val="0"/>
      <w:marTop w:val="0"/>
      <w:marBottom w:val="0"/>
      <w:divBdr>
        <w:top w:val="none" w:sz="0" w:space="0" w:color="auto"/>
        <w:left w:val="none" w:sz="0" w:space="0" w:color="auto"/>
        <w:bottom w:val="none" w:sz="0" w:space="0" w:color="auto"/>
        <w:right w:val="none" w:sz="0" w:space="0" w:color="auto"/>
      </w:divBdr>
    </w:div>
    <w:div w:id="2110465220">
      <w:bodyDiv w:val="1"/>
      <w:marLeft w:val="0"/>
      <w:marRight w:val="0"/>
      <w:marTop w:val="0"/>
      <w:marBottom w:val="0"/>
      <w:divBdr>
        <w:top w:val="none" w:sz="0" w:space="0" w:color="auto"/>
        <w:left w:val="none" w:sz="0" w:space="0" w:color="auto"/>
        <w:bottom w:val="none" w:sz="0" w:space="0" w:color="auto"/>
        <w:right w:val="none" w:sz="0" w:space="0" w:color="auto"/>
      </w:divBdr>
    </w:div>
    <w:div w:id="21287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tu-environnement.com/ae/news/porjet-loi-biodiversite-deputes-chalutage-eaux-profondes-interdiction-26394.php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semblee-nationale.fr/14/amendements/3564/AN/435.a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3150-EA91-431F-A2D4-5A41FFB0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2647</Words>
  <Characters>14561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QUIDEAU</dc:creator>
  <cp:lastModifiedBy>Secretariat</cp:lastModifiedBy>
  <cp:revision>4</cp:revision>
  <cp:lastPrinted>2016-03-25T08:27:00Z</cp:lastPrinted>
  <dcterms:created xsi:type="dcterms:W3CDTF">2016-04-01T10:35:00Z</dcterms:created>
  <dcterms:modified xsi:type="dcterms:W3CDTF">2016-04-05T08:12:00Z</dcterms:modified>
</cp:coreProperties>
</file>